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F940D" w14:textId="0C262439" w:rsidR="0090053F" w:rsidRPr="001B087C" w:rsidRDefault="0090053F">
      <w:pPr>
        <w:rPr>
          <w:b/>
          <w:sz w:val="24"/>
          <w:u w:val="single"/>
        </w:rPr>
      </w:pPr>
      <w:r w:rsidRPr="001B087C">
        <w:rPr>
          <w:b/>
          <w:sz w:val="24"/>
          <w:u w:val="single"/>
        </w:rPr>
        <w:t>Read</w:t>
      </w:r>
      <w:r w:rsidR="006D6C9D" w:rsidRPr="001B087C">
        <w:rPr>
          <w:b/>
          <w:sz w:val="24"/>
          <w:u w:val="single"/>
        </w:rPr>
        <w:t>me</w:t>
      </w:r>
      <w:r w:rsidRPr="001B087C">
        <w:rPr>
          <w:b/>
          <w:sz w:val="24"/>
          <w:u w:val="single"/>
        </w:rPr>
        <w:t xml:space="preserve"> – Suppl</w:t>
      </w:r>
      <w:r w:rsidR="006D6C9D" w:rsidRPr="001B087C">
        <w:rPr>
          <w:b/>
          <w:sz w:val="24"/>
          <w:u w:val="single"/>
        </w:rPr>
        <w:t>e</w:t>
      </w:r>
      <w:r w:rsidRPr="001B087C">
        <w:rPr>
          <w:b/>
          <w:sz w:val="24"/>
          <w:u w:val="single"/>
        </w:rPr>
        <w:t xml:space="preserve">mentary </w:t>
      </w:r>
      <w:r w:rsidR="006D6C9D" w:rsidRPr="001B087C">
        <w:rPr>
          <w:b/>
          <w:sz w:val="24"/>
          <w:u w:val="single"/>
        </w:rPr>
        <w:t>d</w:t>
      </w:r>
      <w:r w:rsidRPr="001B087C">
        <w:rPr>
          <w:b/>
          <w:sz w:val="24"/>
          <w:u w:val="single"/>
        </w:rPr>
        <w:t>ata</w:t>
      </w:r>
    </w:p>
    <w:p w14:paraId="6D4915E5" w14:textId="27BB1BF2" w:rsidR="0090053F" w:rsidRPr="001B087C" w:rsidRDefault="001E03BD">
      <w:pPr>
        <w:rPr>
          <w:b/>
          <w:sz w:val="20"/>
        </w:rPr>
      </w:pPr>
      <w:r>
        <w:rPr>
          <w:b/>
          <w:sz w:val="20"/>
        </w:rPr>
        <w:t xml:space="preserve"> </w:t>
      </w:r>
      <w:r w:rsidR="0024022E">
        <w:rPr>
          <w:b/>
          <w:sz w:val="20"/>
        </w:rPr>
        <w:t>Date: 10.03.2025</w:t>
      </w:r>
    </w:p>
    <w:p w14:paraId="4C95CD10" w14:textId="5CF52C21" w:rsidR="004E333F" w:rsidRPr="001B087C" w:rsidRDefault="004F60F3">
      <w:pPr>
        <w:rPr>
          <w:sz w:val="20"/>
          <w:lang w:val="en-US"/>
        </w:rPr>
      </w:pPr>
      <w:r w:rsidRPr="001B087C">
        <w:rPr>
          <w:b/>
          <w:sz w:val="20"/>
          <w:u w:val="single"/>
        </w:rPr>
        <w:t>Data set title:</w:t>
      </w:r>
      <w:r w:rsidRPr="001B087C">
        <w:rPr>
          <w:sz w:val="20"/>
        </w:rPr>
        <w:t xml:space="preserve"> </w:t>
      </w:r>
      <w:r w:rsidR="0024022E">
        <w:rPr>
          <w:sz w:val="20"/>
        </w:rPr>
        <w:t xml:space="preserve">Automatic </w:t>
      </w:r>
      <w:r w:rsidR="00BC3F34" w:rsidRPr="00BC3F34">
        <w:rPr>
          <w:sz w:val="20"/>
        </w:rPr>
        <w:t xml:space="preserve">Infill Generation with Honeycomb and Grid Structures in MIM Mold Design for </w:t>
      </w:r>
      <w:r w:rsidR="0024022E">
        <w:rPr>
          <w:sz w:val="20"/>
        </w:rPr>
        <w:t xml:space="preserve">Metallic </w:t>
      </w:r>
      <w:r w:rsidR="00BC3F34" w:rsidRPr="00BC3F34">
        <w:rPr>
          <w:sz w:val="20"/>
        </w:rPr>
        <w:t xml:space="preserve">Bipolar Plates </w:t>
      </w:r>
    </w:p>
    <w:p w14:paraId="4C68F0BF" w14:textId="2D19FEEF" w:rsidR="004F60F3" w:rsidRPr="001907A5" w:rsidRDefault="004F60F3">
      <w:pPr>
        <w:rPr>
          <w:sz w:val="20"/>
        </w:rPr>
      </w:pPr>
      <w:r w:rsidRPr="001B087C">
        <w:rPr>
          <w:b/>
          <w:sz w:val="20"/>
          <w:u w:val="single"/>
        </w:rPr>
        <w:t xml:space="preserve">DOI </w:t>
      </w:r>
      <w:r w:rsidRPr="001907A5">
        <w:rPr>
          <w:b/>
          <w:sz w:val="20"/>
          <w:u w:val="single"/>
        </w:rPr>
        <w:t>of data set:</w:t>
      </w:r>
      <w:r w:rsidRPr="001907A5">
        <w:rPr>
          <w:sz w:val="20"/>
        </w:rPr>
        <w:t xml:space="preserve"> </w:t>
      </w:r>
      <w:hyperlink r:id="rId5" w:history="1">
        <w:r w:rsidR="00EA4E7B" w:rsidRPr="006E6EE7">
          <w:rPr>
            <w:rStyle w:val="Hyperlink"/>
            <w:sz w:val="20"/>
          </w:rPr>
          <w:t>https://doi.org/10.15480/882.14884</w:t>
        </w:r>
      </w:hyperlink>
      <w:r w:rsidR="00EA4E7B">
        <w:rPr>
          <w:rStyle w:val="Hyperlink"/>
          <w:color w:val="auto"/>
          <w:sz w:val="20"/>
          <w:u w:val="none"/>
        </w:rPr>
        <w:t xml:space="preserve"> </w:t>
      </w:r>
    </w:p>
    <w:p w14:paraId="26BCBE3F" w14:textId="47D01999" w:rsidR="004F60F3" w:rsidRPr="001907A5" w:rsidRDefault="004F60F3">
      <w:pPr>
        <w:rPr>
          <w:sz w:val="20"/>
        </w:rPr>
      </w:pPr>
      <w:r w:rsidRPr="001907A5">
        <w:rPr>
          <w:b/>
          <w:sz w:val="20"/>
          <w:u w:val="single"/>
        </w:rPr>
        <w:t>Handle of data set:</w:t>
      </w:r>
      <w:r w:rsidRPr="001907A5">
        <w:rPr>
          <w:sz w:val="20"/>
        </w:rPr>
        <w:t xml:space="preserve"> </w:t>
      </w:r>
      <w:r w:rsidR="00EA4E7B" w:rsidRPr="00EA4E7B">
        <w:rPr>
          <w:rStyle w:val="Hyperlink"/>
          <w:color w:val="auto"/>
          <w:sz w:val="20"/>
          <w:u w:val="none"/>
        </w:rPr>
        <w:t>https://hdl.handle.net/11420/54730</w:t>
      </w:r>
    </w:p>
    <w:p w14:paraId="43DD5674" w14:textId="1AB559F1" w:rsidR="004F60F3" w:rsidRPr="001B087C" w:rsidRDefault="001907A5">
      <w:pPr>
        <w:rPr>
          <w:sz w:val="20"/>
        </w:rPr>
      </w:pPr>
      <w:r>
        <w:rPr>
          <w:sz w:val="20"/>
        </w:rPr>
        <w:t xml:space="preserve"> </w:t>
      </w:r>
    </w:p>
    <w:p w14:paraId="4AF1BDFB" w14:textId="0DC287B7" w:rsidR="004F60F3" w:rsidRPr="001B087C" w:rsidRDefault="004F60F3">
      <w:pPr>
        <w:rPr>
          <w:b/>
          <w:sz w:val="20"/>
          <w:u w:val="single"/>
        </w:rPr>
      </w:pPr>
      <w:r w:rsidRPr="001B087C">
        <w:rPr>
          <w:b/>
          <w:sz w:val="20"/>
          <w:u w:val="single"/>
        </w:rPr>
        <w:t xml:space="preserve">Involved </w:t>
      </w:r>
      <w:r w:rsidR="006D6C9D" w:rsidRPr="001B087C">
        <w:rPr>
          <w:b/>
          <w:sz w:val="20"/>
          <w:u w:val="single"/>
        </w:rPr>
        <w:t>p</w:t>
      </w:r>
      <w:r w:rsidRPr="001B087C">
        <w:rPr>
          <w:b/>
          <w:sz w:val="20"/>
          <w:u w:val="single"/>
        </w:rPr>
        <w:t xml:space="preserve">ersons:  </w:t>
      </w:r>
    </w:p>
    <w:p w14:paraId="6227E0FA" w14:textId="427C1C61" w:rsidR="00EE3262" w:rsidRDefault="00EE3262" w:rsidP="004F60F3">
      <w:pPr>
        <w:rPr>
          <w:sz w:val="20"/>
        </w:rPr>
      </w:pPr>
      <w:r>
        <w:rPr>
          <w:sz w:val="20"/>
        </w:rPr>
        <w:t>Karim Asami (1)</w:t>
      </w:r>
      <w:r>
        <w:rPr>
          <w:sz w:val="20"/>
        </w:rPr>
        <w:br/>
      </w:r>
      <w:r w:rsidRPr="00EE3262">
        <w:rPr>
          <w:sz w:val="20"/>
        </w:rPr>
        <w:t>karim.asami@tuhh.de</w:t>
      </w:r>
    </w:p>
    <w:p w14:paraId="284A2994" w14:textId="3E054E2D" w:rsidR="00EE3262" w:rsidRDefault="00EA4E7B" w:rsidP="004F60F3">
      <w:pPr>
        <w:rPr>
          <w:sz w:val="20"/>
        </w:rPr>
      </w:pPr>
      <w:r w:rsidRPr="00EA4E7B">
        <w:rPr>
          <w:sz w:val="20"/>
        </w:rPr>
        <w:t>Prathveraj Shetty</w:t>
      </w:r>
      <w:r w:rsidR="00EE3262">
        <w:rPr>
          <w:sz w:val="20"/>
        </w:rPr>
        <w:t xml:space="preserve"> </w:t>
      </w:r>
      <w:r>
        <w:rPr>
          <w:sz w:val="20"/>
        </w:rPr>
        <w:t>(1</w:t>
      </w:r>
      <w:r w:rsidR="00EE3262">
        <w:rPr>
          <w:sz w:val="20"/>
        </w:rPr>
        <w:t>)</w:t>
      </w:r>
      <w:r w:rsidR="00EE3262">
        <w:rPr>
          <w:sz w:val="20"/>
        </w:rPr>
        <w:br/>
      </w:r>
      <w:r w:rsidR="001E17B3" w:rsidRPr="001E17B3">
        <w:rPr>
          <w:sz w:val="20"/>
        </w:rPr>
        <w:t>prathveraj.shetty@tuhh.de</w:t>
      </w:r>
    </w:p>
    <w:p w14:paraId="4F963AA2" w14:textId="6C94F321" w:rsidR="004F60F3" w:rsidRPr="001B087C" w:rsidRDefault="001E17B3" w:rsidP="004F60F3">
      <w:pPr>
        <w:rPr>
          <w:sz w:val="20"/>
        </w:rPr>
      </w:pPr>
      <w:r>
        <w:rPr>
          <w:sz w:val="20"/>
        </w:rPr>
        <w:t>Prathamesh Patil</w:t>
      </w:r>
      <w:r w:rsidR="004F60F3" w:rsidRPr="001B087C">
        <w:rPr>
          <w:sz w:val="20"/>
        </w:rPr>
        <w:t xml:space="preserve"> (1) </w:t>
      </w:r>
      <w:r w:rsidR="004F60F3" w:rsidRPr="001B087C">
        <w:rPr>
          <w:sz w:val="20"/>
        </w:rPr>
        <w:br/>
      </w:r>
      <w:r w:rsidR="00EA4E7B" w:rsidRPr="00EA4E7B">
        <w:rPr>
          <w:sz w:val="20"/>
        </w:rPr>
        <w:t>prathamesh.patil@tuhh.de</w:t>
      </w:r>
      <w:r w:rsidR="004F60F3" w:rsidRPr="001B087C">
        <w:rPr>
          <w:sz w:val="20"/>
        </w:rPr>
        <w:t xml:space="preserve"> </w:t>
      </w:r>
    </w:p>
    <w:p w14:paraId="5EF7B3A5" w14:textId="77777777" w:rsidR="00EE3262" w:rsidRDefault="00EE3262">
      <w:pPr>
        <w:rPr>
          <w:sz w:val="20"/>
          <w:lang w:val="de-DE"/>
        </w:rPr>
      </w:pPr>
      <w:r w:rsidRPr="001B087C">
        <w:rPr>
          <w:sz w:val="20"/>
          <w:lang w:val="de-DE"/>
        </w:rPr>
        <w:t xml:space="preserve">Tim Röver (1) </w:t>
      </w:r>
      <w:r w:rsidRPr="001B087C">
        <w:rPr>
          <w:sz w:val="20"/>
          <w:lang w:val="de-DE"/>
        </w:rPr>
        <w:br/>
        <w:t xml:space="preserve">tim.roever@tuhh.de </w:t>
      </w:r>
    </w:p>
    <w:p w14:paraId="44C2F01E" w14:textId="1E944D59" w:rsidR="004F60F3" w:rsidRPr="001B087C" w:rsidRDefault="004F60F3">
      <w:pPr>
        <w:rPr>
          <w:sz w:val="20"/>
          <w:lang w:val="de-DE"/>
        </w:rPr>
      </w:pPr>
      <w:r w:rsidRPr="001B087C">
        <w:rPr>
          <w:sz w:val="20"/>
          <w:lang w:val="de-DE"/>
        </w:rPr>
        <w:t>Claus Emmelmann (1)</w:t>
      </w:r>
      <w:r w:rsidRPr="001B087C">
        <w:rPr>
          <w:sz w:val="20"/>
          <w:lang w:val="de-DE"/>
        </w:rPr>
        <w:br/>
        <w:t>c.emmelmann@tuhh.de</w:t>
      </w:r>
      <w:r w:rsidR="004E333F" w:rsidRPr="001B087C">
        <w:rPr>
          <w:sz w:val="20"/>
          <w:lang w:val="de-DE"/>
        </w:rPr>
        <w:br/>
      </w:r>
    </w:p>
    <w:p w14:paraId="49307332" w14:textId="1FF00ABB" w:rsidR="004F60F3" w:rsidRPr="00EA4E7B" w:rsidRDefault="004F60F3">
      <w:pPr>
        <w:rPr>
          <w:sz w:val="20"/>
          <w:lang w:val="en-US"/>
        </w:rPr>
      </w:pPr>
      <w:r w:rsidRPr="00C86133">
        <w:rPr>
          <w:sz w:val="20"/>
          <w:lang w:val="en-US"/>
        </w:rPr>
        <w:t>(1) Hamburg University of Technology (TUHH), Institute of Laser and Systems Technologies (iLAS), Harburger Schloßstraße 28, 21079 Hamburg</w:t>
      </w:r>
      <w:r w:rsidR="004E333F" w:rsidRPr="00C86133">
        <w:rPr>
          <w:sz w:val="20"/>
          <w:lang w:val="en-US"/>
        </w:rPr>
        <w:t xml:space="preserve">, </w:t>
      </w:r>
      <w:r w:rsidRPr="00C86133">
        <w:rPr>
          <w:sz w:val="20"/>
          <w:lang w:val="en-US"/>
        </w:rPr>
        <w:t>Germany</w:t>
      </w:r>
      <w:r w:rsidRPr="001B087C">
        <w:rPr>
          <w:sz w:val="20"/>
        </w:rPr>
        <w:t xml:space="preserve"> </w:t>
      </w:r>
    </w:p>
    <w:p w14:paraId="55338244" w14:textId="3BF23141" w:rsidR="002F6FBB" w:rsidRPr="001B087C" w:rsidRDefault="002F6FBB">
      <w:pPr>
        <w:rPr>
          <w:sz w:val="20"/>
        </w:rPr>
      </w:pPr>
    </w:p>
    <w:p w14:paraId="3AD83468" w14:textId="68074853" w:rsidR="00D65BE8" w:rsidRPr="00E03712" w:rsidRDefault="004F60F3" w:rsidP="00D65BE8">
      <w:pPr>
        <w:rPr>
          <w:sz w:val="20"/>
        </w:rPr>
      </w:pPr>
      <w:r w:rsidRPr="00E03712">
        <w:rPr>
          <w:b/>
          <w:sz w:val="20"/>
          <w:u w:val="single"/>
        </w:rPr>
        <w:t>Context:</w:t>
      </w:r>
      <w:r w:rsidRPr="00E03712">
        <w:rPr>
          <w:sz w:val="20"/>
        </w:rPr>
        <w:t xml:space="preserve"> </w:t>
      </w:r>
      <w:r w:rsidR="00D65BE8" w:rsidRPr="00E03712">
        <w:rPr>
          <w:sz w:val="20"/>
        </w:rPr>
        <w:t>This dataset is supplementary material to the publication with the title "</w:t>
      </w:r>
      <w:r w:rsidR="00AF2163">
        <w:rPr>
          <w:sz w:val="20"/>
        </w:rPr>
        <w:t xml:space="preserve"> </w:t>
      </w:r>
      <w:r w:rsidR="00AF2163" w:rsidRPr="00AF2163">
        <w:rPr>
          <w:i/>
          <w:sz w:val="20"/>
        </w:rPr>
        <w:t>Automatic</w:t>
      </w:r>
      <w:r w:rsidR="00005D6B" w:rsidRPr="009567A4">
        <w:rPr>
          <w:sz w:val="20"/>
        </w:rPr>
        <w:t xml:space="preserve"> </w:t>
      </w:r>
      <w:r w:rsidR="0024022E" w:rsidRPr="0024022E">
        <w:rPr>
          <w:i/>
          <w:sz w:val="20"/>
        </w:rPr>
        <w:t>Infill Generation with Honeycomb and Grid Structures in MIM Mold Design for</w:t>
      </w:r>
      <w:r w:rsidR="0024022E">
        <w:rPr>
          <w:i/>
          <w:sz w:val="20"/>
        </w:rPr>
        <w:t xml:space="preserve"> Metallic</w:t>
      </w:r>
      <w:r w:rsidR="0024022E" w:rsidRPr="0024022E">
        <w:rPr>
          <w:i/>
          <w:sz w:val="20"/>
        </w:rPr>
        <w:t xml:space="preserve"> Bipolar Plates</w:t>
      </w:r>
      <w:r w:rsidR="00005D6B" w:rsidRPr="0024022E">
        <w:rPr>
          <w:i/>
          <w:sz w:val="20"/>
        </w:rPr>
        <w:t xml:space="preserve"> </w:t>
      </w:r>
      <w:r w:rsidR="00D65BE8" w:rsidRPr="00E03712">
        <w:rPr>
          <w:sz w:val="20"/>
        </w:rPr>
        <w:t>".</w:t>
      </w:r>
    </w:p>
    <w:p w14:paraId="7E020978" w14:textId="241BA040" w:rsidR="00477597" w:rsidRDefault="00477597" w:rsidP="00C86133">
      <w:pPr>
        <w:spacing w:after="0"/>
        <w:jc w:val="both"/>
        <w:rPr>
          <w:b/>
          <w:sz w:val="20"/>
        </w:rPr>
      </w:pPr>
      <w:r>
        <w:rPr>
          <w:b/>
          <w:sz w:val="20"/>
        </w:rPr>
        <w:t>Infill model for the automatic creation of customized grid and honeycomb structures</w:t>
      </w:r>
    </w:p>
    <w:p w14:paraId="52DF6F72" w14:textId="77777777" w:rsidR="00477597" w:rsidRPr="00477597" w:rsidRDefault="00477597" w:rsidP="00C86133">
      <w:pPr>
        <w:spacing w:after="0"/>
        <w:jc w:val="both"/>
        <w:rPr>
          <w:b/>
          <w:sz w:val="20"/>
        </w:rPr>
      </w:pPr>
    </w:p>
    <w:p w14:paraId="073E1123" w14:textId="37096204" w:rsidR="00C86133" w:rsidRPr="00C86133" w:rsidRDefault="00C86133" w:rsidP="00C86133">
      <w:pPr>
        <w:spacing w:after="0"/>
        <w:jc w:val="both"/>
        <w:rPr>
          <w:sz w:val="20"/>
        </w:rPr>
      </w:pPr>
      <w:r w:rsidRPr="00C86133">
        <w:rPr>
          <w:sz w:val="20"/>
        </w:rPr>
        <w:t>Synera facilitates the generation of a CAD model for infill structures with low-code automation,</w:t>
      </w:r>
    </w:p>
    <w:p w14:paraId="73243118" w14:textId="77777777" w:rsidR="00C86133" w:rsidRPr="00C86133" w:rsidRDefault="00C86133" w:rsidP="00C86133">
      <w:pPr>
        <w:spacing w:after="0"/>
        <w:jc w:val="both"/>
        <w:rPr>
          <w:sz w:val="20"/>
        </w:rPr>
      </w:pPr>
      <w:r w:rsidRPr="00C86133">
        <w:rPr>
          <w:sz w:val="20"/>
        </w:rPr>
        <w:t>where mathematical and logical functions are integrated with CAD capabilities. Workflow automation</w:t>
      </w:r>
    </w:p>
    <w:p w14:paraId="4E7C6D90" w14:textId="77777777" w:rsidR="00C86133" w:rsidRPr="00C86133" w:rsidRDefault="00C86133" w:rsidP="00C86133">
      <w:pPr>
        <w:spacing w:after="0"/>
        <w:jc w:val="both"/>
        <w:rPr>
          <w:sz w:val="20"/>
        </w:rPr>
      </w:pPr>
      <w:r w:rsidRPr="00C86133">
        <w:rPr>
          <w:sz w:val="20"/>
        </w:rPr>
        <w:t>follows through efficiently, accommodating all specimens due to the parameter-dependent nature</w:t>
      </w:r>
    </w:p>
    <w:p w14:paraId="1684134B" w14:textId="77777777" w:rsidR="00C86133" w:rsidRPr="00C86133" w:rsidRDefault="00C86133" w:rsidP="00C86133">
      <w:pPr>
        <w:spacing w:after="0"/>
        <w:jc w:val="both"/>
        <w:rPr>
          <w:sz w:val="20"/>
        </w:rPr>
      </w:pPr>
      <w:r w:rsidRPr="00C86133">
        <w:rPr>
          <w:sz w:val="20"/>
        </w:rPr>
        <w:t>of the infill structures and the mathematical complexities involved. This workflow will generate</w:t>
      </w:r>
    </w:p>
    <w:p w14:paraId="63E4DFE3" w14:textId="77777777" w:rsidR="00C86133" w:rsidRPr="00C86133" w:rsidRDefault="00C86133" w:rsidP="00C86133">
      <w:pPr>
        <w:spacing w:after="0"/>
        <w:jc w:val="both"/>
        <w:rPr>
          <w:sz w:val="20"/>
        </w:rPr>
      </w:pPr>
      <w:r w:rsidRPr="00C86133">
        <w:rPr>
          <w:sz w:val="20"/>
        </w:rPr>
        <w:t>the intended infill specimen upon user input and save the file in STEP and STL formats within the</w:t>
      </w:r>
    </w:p>
    <w:p w14:paraId="5E6DF7C8" w14:textId="77777777" w:rsidR="00C86133" w:rsidRPr="00C86133" w:rsidRDefault="00C86133" w:rsidP="00C86133">
      <w:pPr>
        <w:spacing w:after="0"/>
        <w:jc w:val="both"/>
        <w:rPr>
          <w:sz w:val="20"/>
        </w:rPr>
      </w:pPr>
      <w:r w:rsidRPr="00C86133">
        <w:rPr>
          <w:sz w:val="20"/>
        </w:rPr>
        <w:t>specified directory. It also gives a percentage display of the total volume reduction for the specimen.</w:t>
      </w:r>
    </w:p>
    <w:p w14:paraId="3BC79836" w14:textId="77777777" w:rsidR="00C86133" w:rsidRPr="00C86133" w:rsidRDefault="00C86133" w:rsidP="00C86133">
      <w:pPr>
        <w:spacing w:after="0"/>
        <w:jc w:val="both"/>
        <w:rPr>
          <w:sz w:val="20"/>
        </w:rPr>
      </w:pPr>
      <w:r w:rsidRPr="00C86133">
        <w:rPr>
          <w:sz w:val="20"/>
        </w:rPr>
        <w:t>The users can vary input parameters to realize the infill structure configuration per choice.</w:t>
      </w:r>
    </w:p>
    <w:p w14:paraId="73272050" w14:textId="77777777" w:rsidR="00C86133" w:rsidRPr="00C86133" w:rsidRDefault="00C86133" w:rsidP="00C86133">
      <w:pPr>
        <w:spacing w:after="0"/>
        <w:jc w:val="both"/>
        <w:rPr>
          <w:sz w:val="20"/>
        </w:rPr>
      </w:pPr>
      <w:r w:rsidRPr="00C86133">
        <w:rPr>
          <w:sz w:val="20"/>
        </w:rPr>
        <w:t>The step-by-step procedure for the workflow usage is shown below:</w:t>
      </w:r>
    </w:p>
    <w:p w14:paraId="3F0F8EF4" w14:textId="77777777" w:rsidR="00C86133" w:rsidRPr="00C86133" w:rsidRDefault="00C86133" w:rsidP="00C86133">
      <w:pPr>
        <w:spacing w:after="0"/>
        <w:jc w:val="both"/>
        <w:rPr>
          <w:sz w:val="20"/>
        </w:rPr>
      </w:pPr>
    </w:p>
    <w:p w14:paraId="52EC0413" w14:textId="77777777" w:rsidR="00C86133" w:rsidRPr="00C86133" w:rsidRDefault="00C86133" w:rsidP="00C86133">
      <w:pPr>
        <w:spacing w:after="0"/>
        <w:jc w:val="both"/>
        <w:rPr>
          <w:sz w:val="20"/>
        </w:rPr>
      </w:pPr>
      <w:r w:rsidRPr="00C86133">
        <w:rPr>
          <w:sz w:val="20"/>
        </w:rPr>
        <w:t>Step 1: Choose the specimen for infill cavity creation. If a custom part with an infill structure is</w:t>
      </w:r>
    </w:p>
    <w:p w14:paraId="43653A26" w14:textId="7FDFD643" w:rsidR="00C86133" w:rsidRDefault="00C86133" w:rsidP="00C86133">
      <w:pPr>
        <w:spacing w:after="0"/>
        <w:jc w:val="both"/>
        <w:rPr>
          <w:sz w:val="20"/>
        </w:rPr>
      </w:pPr>
      <w:r w:rsidRPr="00C86133">
        <w:rPr>
          <w:sz w:val="20"/>
        </w:rPr>
        <w:t>required, select the custom part and specify its file path.</w:t>
      </w:r>
    </w:p>
    <w:p w14:paraId="492BCA6A" w14:textId="30012AF0" w:rsidR="00477597" w:rsidRDefault="00477597" w:rsidP="00C86133">
      <w:pPr>
        <w:spacing w:after="0"/>
        <w:jc w:val="both"/>
        <w:rPr>
          <w:sz w:val="20"/>
        </w:rPr>
      </w:pPr>
    </w:p>
    <w:p w14:paraId="37D8F847" w14:textId="4978BBA6" w:rsidR="00477597" w:rsidRPr="00C86133" w:rsidRDefault="00477597" w:rsidP="00477597">
      <w:pPr>
        <w:spacing w:after="0"/>
        <w:jc w:val="center"/>
        <w:rPr>
          <w:sz w:val="20"/>
        </w:rPr>
      </w:pPr>
      <w:r w:rsidRPr="00477597">
        <w:rPr>
          <w:noProof/>
          <w:sz w:val="20"/>
          <w:lang w:val="en-US"/>
        </w:rPr>
        <w:drawing>
          <wp:inline distT="0" distB="0" distL="0" distR="0" wp14:anchorId="6DA13A59" wp14:editId="6C85FFB4">
            <wp:extent cx="2390065" cy="1553952"/>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95405" cy="1557424"/>
                    </a:xfrm>
                    <a:prstGeom prst="rect">
                      <a:avLst/>
                    </a:prstGeom>
                    <a:noFill/>
                    <a:ln>
                      <a:noFill/>
                    </a:ln>
                  </pic:spPr>
                </pic:pic>
              </a:graphicData>
            </a:graphic>
          </wp:inline>
        </w:drawing>
      </w:r>
    </w:p>
    <w:p w14:paraId="1D749734" w14:textId="77777777" w:rsidR="00C86133" w:rsidRPr="00C86133" w:rsidRDefault="00C86133" w:rsidP="00C86133">
      <w:pPr>
        <w:spacing w:after="0"/>
        <w:jc w:val="both"/>
        <w:rPr>
          <w:sz w:val="20"/>
        </w:rPr>
      </w:pPr>
      <w:r w:rsidRPr="00C86133">
        <w:rPr>
          <w:sz w:val="20"/>
        </w:rPr>
        <w:t>Step 2: Provide the values for different infill parameters. The infill percentage can be varied between</w:t>
      </w:r>
    </w:p>
    <w:p w14:paraId="1CD95FBD" w14:textId="3EBA6726" w:rsidR="00C86133" w:rsidRDefault="00C86133" w:rsidP="00C86133">
      <w:pPr>
        <w:spacing w:after="0"/>
        <w:jc w:val="both"/>
        <w:rPr>
          <w:sz w:val="20"/>
        </w:rPr>
      </w:pPr>
      <w:r w:rsidRPr="00C86133">
        <w:rPr>
          <w:sz w:val="20"/>
        </w:rPr>
        <w:t>10 to 100 percent. With infill type: Grid and honeycomb. Plane of infill: XY, YZ and ZX.</w:t>
      </w:r>
    </w:p>
    <w:p w14:paraId="1013E87C" w14:textId="53D1DBCD" w:rsidR="00477597" w:rsidRPr="00C86133" w:rsidRDefault="00477597" w:rsidP="00477597">
      <w:pPr>
        <w:spacing w:after="0"/>
        <w:jc w:val="center"/>
        <w:rPr>
          <w:sz w:val="20"/>
        </w:rPr>
      </w:pPr>
      <w:r w:rsidRPr="00477597">
        <w:rPr>
          <w:noProof/>
          <w:sz w:val="20"/>
          <w:lang w:val="en-US"/>
        </w:rPr>
        <w:drawing>
          <wp:inline distT="0" distB="0" distL="0" distR="0" wp14:anchorId="033E0DAB" wp14:editId="24B5F2CB">
            <wp:extent cx="2563553" cy="2929229"/>
            <wp:effectExtent l="0" t="0" r="8255" b="508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70629" cy="2937315"/>
                    </a:xfrm>
                    <a:prstGeom prst="rect">
                      <a:avLst/>
                    </a:prstGeom>
                    <a:noFill/>
                    <a:ln>
                      <a:noFill/>
                    </a:ln>
                  </pic:spPr>
                </pic:pic>
              </a:graphicData>
            </a:graphic>
          </wp:inline>
        </w:drawing>
      </w:r>
    </w:p>
    <w:p w14:paraId="5A3A91D4" w14:textId="77777777" w:rsidR="00C86133" w:rsidRPr="00C86133" w:rsidRDefault="00C86133" w:rsidP="00C86133">
      <w:pPr>
        <w:spacing w:after="0"/>
        <w:jc w:val="both"/>
        <w:rPr>
          <w:sz w:val="20"/>
        </w:rPr>
      </w:pPr>
      <w:r w:rsidRPr="00C86133">
        <w:rPr>
          <w:sz w:val="20"/>
        </w:rPr>
        <w:t>Step 3: Click on the save button after providing the folder location and the file name. The file will</w:t>
      </w:r>
    </w:p>
    <w:p w14:paraId="13F94663" w14:textId="73301E33" w:rsidR="00C86133" w:rsidRDefault="00C86133" w:rsidP="00C86133">
      <w:pPr>
        <w:spacing w:after="0"/>
        <w:jc w:val="both"/>
        <w:rPr>
          <w:sz w:val="20"/>
        </w:rPr>
      </w:pPr>
      <w:r w:rsidRPr="00C86133">
        <w:rPr>
          <w:sz w:val="20"/>
        </w:rPr>
        <w:t>be saved and can be used for static simulation and printing purposes.</w:t>
      </w:r>
    </w:p>
    <w:p w14:paraId="18037D2C" w14:textId="06D9F151" w:rsidR="00477597" w:rsidRPr="00C86133" w:rsidRDefault="00477597" w:rsidP="00477597">
      <w:pPr>
        <w:spacing w:after="0"/>
        <w:jc w:val="center"/>
        <w:rPr>
          <w:sz w:val="20"/>
        </w:rPr>
      </w:pPr>
      <w:r w:rsidRPr="00477597">
        <w:rPr>
          <w:noProof/>
          <w:sz w:val="20"/>
          <w:lang w:val="en-US"/>
        </w:rPr>
        <w:drawing>
          <wp:inline distT="0" distB="0" distL="0" distR="0" wp14:anchorId="3BCA290F" wp14:editId="5EEC1022">
            <wp:extent cx="2494779" cy="1358323"/>
            <wp:effectExtent l="0" t="0" r="127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10149" cy="1366691"/>
                    </a:xfrm>
                    <a:prstGeom prst="rect">
                      <a:avLst/>
                    </a:prstGeom>
                    <a:noFill/>
                    <a:ln>
                      <a:noFill/>
                    </a:ln>
                  </pic:spPr>
                </pic:pic>
              </a:graphicData>
            </a:graphic>
          </wp:inline>
        </w:drawing>
      </w:r>
    </w:p>
    <w:p w14:paraId="3F24BA06" w14:textId="77777777" w:rsidR="00477597" w:rsidRDefault="00477597" w:rsidP="00C86133">
      <w:pPr>
        <w:spacing w:after="0"/>
        <w:jc w:val="both"/>
        <w:rPr>
          <w:sz w:val="20"/>
        </w:rPr>
      </w:pPr>
    </w:p>
    <w:p w14:paraId="728046CB" w14:textId="149E9679" w:rsidR="00477597" w:rsidRPr="00477597" w:rsidRDefault="00477597" w:rsidP="00C86133">
      <w:pPr>
        <w:spacing w:after="0"/>
        <w:jc w:val="both"/>
        <w:rPr>
          <w:rFonts w:cstheme="minorHAnsi"/>
          <w:b/>
          <w:lang w:val="en-US"/>
        </w:rPr>
      </w:pPr>
      <w:r w:rsidRPr="00477597">
        <w:rPr>
          <w:rFonts w:cstheme="minorHAnsi"/>
          <w:b/>
          <w:lang w:val="en-US"/>
        </w:rPr>
        <w:t>Construction of the Synera model</w:t>
      </w:r>
    </w:p>
    <w:p w14:paraId="59327E3B" w14:textId="77777777" w:rsidR="00477597" w:rsidRPr="00477597" w:rsidRDefault="00477597" w:rsidP="00477597">
      <w:pPr>
        <w:spacing w:after="0"/>
        <w:jc w:val="both"/>
        <w:rPr>
          <w:rFonts w:asciiTheme="majorHAnsi" w:hAnsiTheme="majorHAnsi" w:cstheme="majorHAnsi"/>
          <w:b/>
          <w:sz w:val="20"/>
        </w:rPr>
      </w:pPr>
      <w:r w:rsidRPr="00477597">
        <w:rPr>
          <w:rFonts w:asciiTheme="majorHAnsi" w:hAnsiTheme="majorHAnsi" w:cstheme="majorHAnsi"/>
          <w:b/>
          <w:sz w:val="20"/>
        </w:rPr>
        <w:t>Step 1: Calculate the width of the grid unit cell and the diameter of the circumscribed hexagon for</w:t>
      </w:r>
    </w:p>
    <w:p w14:paraId="22FF6AF6" w14:textId="24390D7A" w:rsidR="00477597" w:rsidRDefault="00477597" w:rsidP="00477597">
      <w:pPr>
        <w:spacing w:after="0"/>
        <w:jc w:val="both"/>
        <w:rPr>
          <w:rFonts w:asciiTheme="majorHAnsi" w:hAnsiTheme="majorHAnsi" w:cstheme="majorHAnsi"/>
          <w:b/>
          <w:sz w:val="20"/>
        </w:rPr>
      </w:pPr>
      <w:r w:rsidRPr="00477597">
        <w:rPr>
          <w:rFonts w:asciiTheme="majorHAnsi" w:hAnsiTheme="majorHAnsi" w:cstheme="majorHAnsi"/>
          <w:b/>
          <w:sz w:val="20"/>
        </w:rPr>
        <w:t>the honeycomb unit cell using the quadratic formula.</w:t>
      </w:r>
      <w:r w:rsidRPr="00477597">
        <w:t xml:space="preserve"> </w:t>
      </w:r>
      <w:r>
        <w:rPr>
          <w:rFonts w:asciiTheme="majorHAnsi" w:hAnsiTheme="majorHAnsi" w:cstheme="majorHAnsi"/>
          <w:b/>
          <w:sz w:val="20"/>
        </w:rPr>
        <w:t xml:space="preserve">The quadratic </w:t>
      </w:r>
      <w:r w:rsidRPr="00477597">
        <w:rPr>
          <w:rFonts w:asciiTheme="majorHAnsi" w:hAnsiTheme="majorHAnsi" w:cstheme="majorHAnsi"/>
          <w:b/>
          <w:sz w:val="20"/>
        </w:rPr>
        <w:t>equation is developed using equations 4.1 and 4.2. Here the v</w:t>
      </w:r>
      <w:r>
        <w:rPr>
          <w:rFonts w:asciiTheme="majorHAnsi" w:hAnsiTheme="majorHAnsi" w:cstheme="majorHAnsi"/>
          <w:b/>
          <w:sz w:val="20"/>
        </w:rPr>
        <w:t xml:space="preserve">ariable „b” represents the wall </w:t>
      </w:r>
      <w:r w:rsidRPr="00477597">
        <w:rPr>
          <w:rFonts w:asciiTheme="majorHAnsi" w:hAnsiTheme="majorHAnsi" w:cstheme="majorHAnsi"/>
          <w:b/>
          <w:sz w:val="20"/>
        </w:rPr>
        <w:t>thickness and „c” represents the infill percentage.</w:t>
      </w:r>
    </w:p>
    <w:p w14:paraId="3BC6C32C" w14:textId="2C9C4A2A" w:rsidR="00477597" w:rsidRDefault="00477597" w:rsidP="00477597">
      <w:pPr>
        <w:spacing w:after="0"/>
        <w:jc w:val="both"/>
        <w:rPr>
          <w:rFonts w:asciiTheme="majorHAnsi" w:hAnsiTheme="majorHAnsi" w:cstheme="majorHAnsi"/>
          <w:b/>
          <w:sz w:val="20"/>
        </w:rPr>
      </w:pPr>
      <w:r w:rsidRPr="00477597">
        <w:rPr>
          <w:rFonts w:asciiTheme="majorHAnsi" w:hAnsiTheme="majorHAnsi" w:cstheme="majorHAnsi"/>
          <w:b/>
          <w:noProof/>
          <w:sz w:val="20"/>
          <w:lang w:val="en-US"/>
        </w:rPr>
        <w:drawing>
          <wp:inline distT="0" distB="0" distL="0" distR="0" wp14:anchorId="1F262838" wp14:editId="5273DFDB">
            <wp:extent cx="2651237" cy="528555"/>
            <wp:effectExtent l="0" t="0" r="0" b="508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95493" cy="537378"/>
                    </a:xfrm>
                    <a:prstGeom prst="rect">
                      <a:avLst/>
                    </a:prstGeom>
                    <a:noFill/>
                    <a:ln>
                      <a:noFill/>
                    </a:ln>
                  </pic:spPr>
                </pic:pic>
              </a:graphicData>
            </a:graphic>
          </wp:inline>
        </w:drawing>
      </w:r>
      <w:r w:rsidRPr="00477597">
        <w:rPr>
          <w:rFonts w:asciiTheme="majorHAnsi" w:hAnsiTheme="majorHAnsi" w:cstheme="majorHAnsi"/>
          <w:b/>
          <w:sz w:val="20"/>
        </w:rPr>
        <w:t xml:space="preserve"> </w:t>
      </w:r>
      <w:r w:rsidRPr="00477597">
        <w:rPr>
          <w:rFonts w:asciiTheme="majorHAnsi" w:hAnsiTheme="majorHAnsi" w:cstheme="majorHAnsi"/>
          <w:b/>
          <w:noProof/>
          <w:sz w:val="20"/>
          <w:lang w:val="en-US"/>
        </w:rPr>
        <w:drawing>
          <wp:inline distT="0" distB="0" distL="0" distR="0" wp14:anchorId="4806BD95" wp14:editId="12ED171C">
            <wp:extent cx="2826431" cy="512699"/>
            <wp:effectExtent l="0" t="0" r="0" b="190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04289" cy="526822"/>
                    </a:xfrm>
                    <a:prstGeom prst="rect">
                      <a:avLst/>
                    </a:prstGeom>
                    <a:noFill/>
                    <a:ln>
                      <a:noFill/>
                    </a:ln>
                  </pic:spPr>
                </pic:pic>
              </a:graphicData>
            </a:graphic>
          </wp:inline>
        </w:drawing>
      </w:r>
    </w:p>
    <w:p w14:paraId="02D6018E" w14:textId="77777777" w:rsidR="00477597" w:rsidRDefault="00477597" w:rsidP="00477597">
      <w:pPr>
        <w:spacing w:after="0"/>
        <w:jc w:val="both"/>
        <w:rPr>
          <w:rFonts w:asciiTheme="majorHAnsi" w:hAnsiTheme="majorHAnsi" w:cstheme="majorHAnsi"/>
          <w:b/>
          <w:sz w:val="20"/>
        </w:rPr>
      </w:pPr>
    </w:p>
    <w:p w14:paraId="414BDC27" w14:textId="0FE15D8D" w:rsidR="00477597" w:rsidRPr="00477597" w:rsidRDefault="00477597" w:rsidP="00477597">
      <w:pPr>
        <w:spacing w:after="0"/>
        <w:jc w:val="both"/>
        <w:rPr>
          <w:rFonts w:asciiTheme="majorHAnsi" w:hAnsiTheme="majorHAnsi" w:cstheme="majorHAnsi"/>
          <w:b/>
          <w:sz w:val="20"/>
        </w:rPr>
      </w:pPr>
      <w:r>
        <w:rPr>
          <w:rFonts w:asciiTheme="majorHAnsi" w:hAnsiTheme="majorHAnsi" w:cstheme="majorHAnsi"/>
          <w:b/>
          <w:sz w:val="20"/>
        </w:rPr>
        <w:t>Equation:                          4.1</w:t>
      </w:r>
      <w:r>
        <w:rPr>
          <w:rFonts w:asciiTheme="majorHAnsi" w:hAnsiTheme="majorHAnsi" w:cstheme="majorHAnsi"/>
          <w:b/>
          <w:sz w:val="20"/>
        </w:rPr>
        <w:tab/>
      </w:r>
      <w:r>
        <w:rPr>
          <w:rFonts w:asciiTheme="majorHAnsi" w:hAnsiTheme="majorHAnsi" w:cstheme="majorHAnsi"/>
          <w:b/>
          <w:sz w:val="20"/>
        </w:rPr>
        <w:tab/>
      </w:r>
      <w:r>
        <w:rPr>
          <w:rFonts w:asciiTheme="majorHAnsi" w:hAnsiTheme="majorHAnsi" w:cstheme="majorHAnsi"/>
          <w:b/>
          <w:sz w:val="20"/>
        </w:rPr>
        <w:tab/>
      </w:r>
      <w:r>
        <w:rPr>
          <w:rFonts w:asciiTheme="majorHAnsi" w:hAnsiTheme="majorHAnsi" w:cstheme="majorHAnsi"/>
          <w:b/>
          <w:sz w:val="20"/>
        </w:rPr>
        <w:tab/>
      </w:r>
      <w:r>
        <w:rPr>
          <w:rFonts w:asciiTheme="majorHAnsi" w:hAnsiTheme="majorHAnsi" w:cstheme="majorHAnsi"/>
          <w:b/>
          <w:sz w:val="20"/>
        </w:rPr>
        <w:tab/>
      </w:r>
      <w:r>
        <w:rPr>
          <w:rFonts w:asciiTheme="majorHAnsi" w:hAnsiTheme="majorHAnsi" w:cstheme="majorHAnsi"/>
          <w:b/>
          <w:sz w:val="20"/>
        </w:rPr>
        <w:tab/>
      </w:r>
      <w:r>
        <w:rPr>
          <w:rFonts w:asciiTheme="majorHAnsi" w:hAnsiTheme="majorHAnsi" w:cstheme="majorHAnsi"/>
          <w:b/>
          <w:sz w:val="20"/>
        </w:rPr>
        <w:tab/>
        <w:t>4.2</w:t>
      </w:r>
    </w:p>
    <w:p w14:paraId="381D325B" w14:textId="77777777" w:rsidR="00477597" w:rsidRDefault="00477597" w:rsidP="00C86133">
      <w:pPr>
        <w:spacing w:after="0"/>
        <w:jc w:val="both"/>
        <w:rPr>
          <w:sz w:val="20"/>
        </w:rPr>
      </w:pPr>
    </w:p>
    <w:p w14:paraId="4C37E0CC" w14:textId="77777777" w:rsidR="00477597" w:rsidRDefault="00477597" w:rsidP="00C86133">
      <w:pPr>
        <w:spacing w:after="0"/>
        <w:jc w:val="both"/>
        <w:rPr>
          <w:sz w:val="20"/>
        </w:rPr>
      </w:pPr>
    </w:p>
    <w:p w14:paraId="23BBFF17" w14:textId="77777777" w:rsidR="00477597" w:rsidRDefault="00477597" w:rsidP="00C86133">
      <w:pPr>
        <w:spacing w:after="0"/>
        <w:jc w:val="both"/>
        <w:rPr>
          <w:sz w:val="20"/>
        </w:rPr>
      </w:pPr>
    </w:p>
    <w:p w14:paraId="72D908DB" w14:textId="77777777" w:rsidR="00477597" w:rsidRDefault="00477597" w:rsidP="00C86133">
      <w:pPr>
        <w:spacing w:after="0"/>
        <w:jc w:val="both"/>
        <w:rPr>
          <w:sz w:val="20"/>
        </w:rPr>
      </w:pPr>
    </w:p>
    <w:p w14:paraId="24ABDC0A" w14:textId="22F72966" w:rsidR="00477597" w:rsidRDefault="00477597" w:rsidP="00477597">
      <w:pPr>
        <w:spacing w:after="0"/>
        <w:jc w:val="center"/>
        <w:rPr>
          <w:sz w:val="20"/>
        </w:rPr>
      </w:pPr>
      <w:r w:rsidRPr="00477597">
        <w:rPr>
          <w:noProof/>
          <w:sz w:val="20"/>
          <w:lang w:val="en-US"/>
        </w:rPr>
        <w:drawing>
          <wp:inline distT="0" distB="0" distL="0" distR="0" wp14:anchorId="2D22838E" wp14:editId="5955F10B">
            <wp:extent cx="4947274" cy="1752089"/>
            <wp:effectExtent l="0" t="0" r="6350" b="63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4018" cy="1754477"/>
                    </a:xfrm>
                    <a:prstGeom prst="rect">
                      <a:avLst/>
                    </a:prstGeom>
                    <a:noFill/>
                    <a:ln>
                      <a:noFill/>
                    </a:ln>
                  </pic:spPr>
                </pic:pic>
              </a:graphicData>
            </a:graphic>
          </wp:inline>
        </w:drawing>
      </w:r>
    </w:p>
    <w:p w14:paraId="5FC4B1B0" w14:textId="77777777" w:rsidR="00477597" w:rsidRDefault="00477597" w:rsidP="00C86133">
      <w:pPr>
        <w:spacing w:after="0"/>
        <w:jc w:val="both"/>
        <w:rPr>
          <w:sz w:val="20"/>
        </w:rPr>
      </w:pPr>
    </w:p>
    <w:p w14:paraId="270982F1" w14:textId="77777777" w:rsidR="00477597" w:rsidRPr="00477597" w:rsidRDefault="00477597" w:rsidP="00477597">
      <w:pPr>
        <w:spacing w:after="0"/>
        <w:jc w:val="both"/>
        <w:rPr>
          <w:sz w:val="20"/>
        </w:rPr>
      </w:pPr>
      <w:r w:rsidRPr="00477597">
        <w:rPr>
          <w:sz w:val="20"/>
        </w:rPr>
        <w:t>Step 2: Creation of the grid and honeycomb skeleton using a rectangular pattern and hexagonal</w:t>
      </w:r>
    </w:p>
    <w:p w14:paraId="32F11525" w14:textId="77777777" w:rsidR="00477597" w:rsidRPr="00477597" w:rsidRDefault="00477597" w:rsidP="00477597">
      <w:pPr>
        <w:spacing w:after="0"/>
        <w:jc w:val="both"/>
        <w:rPr>
          <w:sz w:val="20"/>
        </w:rPr>
      </w:pPr>
      <w:r w:rsidRPr="00477597">
        <w:rPr>
          <w:sz w:val="20"/>
        </w:rPr>
        <w:t>pattern blocks. Here, the values for spacing directly arrive from the calculation in the previous step.</w:t>
      </w:r>
    </w:p>
    <w:p w14:paraId="65C4EBC1" w14:textId="77777777" w:rsidR="00477597" w:rsidRPr="00477597" w:rsidRDefault="00477597" w:rsidP="00477597">
      <w:pPr>
        <w:spacing w:after="0"/>
        <w:jc w:val="both"/>
        <w:rPr>
          <w:sz w:val="20"/>
        </w:rPr>
      </w:pPr>
      <w:r w:rsidRPr="00477597">
        <w:rPr>
          <w:sz w:val="20"/>
        </w:rPr>
        <w:t>The sizing in U and V size control the overall pattern space. This can be adjusted based on the</w:t>
      </w:r>
    </w:p>
    <w:p w14:paraId="4E95379C" w14:textId="77777777" w:rsidR="00477597" w:rsidRPr="00477597" w:rsidRDefault="00477597" w:rsidP="00477597">
      <w:pPr>
        <w:spacing w:after="0"/>
        <w:jc w:val="both"/>
        <w:rPr>
          <w:sz w:val="20"/>
        </w:rPr>
      </w:pPr>
      <w:r w:rsidRPr="00477597">
        <w:rPr>
          <w:sz w:val="20"/>
        </w:rPr>
        <w:t>maximum cross-section of the input part for infill. Input for the plane is provided by the user, the</w:t>
      </w:r>
    </w:p>
    <w:p w14:paraId="46D05A5B" w14:textId="48346589" w:rsidR="00477597" w:rsidRDefault="00477597" w:rsidP="00477597">
      <w:pPr>
        <w:spacing w:after="0"/>
        <w:jc w:val="both"/>
        <w:rPr>
          <w:sz w:val="20"/>
        </w:rPr>
      </w:pPr>
      <w:r w:rsidRPr="00477597">
        <w:rPr>
          <w:sz w:val="20"/>
        </w:rPr>
        <w:t>planes are global planes of the model.</w:t>
      </w:r>
    </w:p>
    <w:p w14:paraId="1D282232" w14:textId="484B42B0" w:rsidR="005C62D1" w:rsidRDefault="005C62D1" w:rsidP="00477597">
      <w:pPr>
        <w:spacing w:after="0"/>
        <w:jc w:val="both"/>
        <w:rPr>
          <w:sz w:val="20"/>
        </w:rPr>
      </w:pPr>
      <w:r w:rsidRPr="005C62D1">
        <w:rPr>
          <w:noProof/>
          <w:sz w:val="20"/>
          <w:lang w:val="en-US"/>
        </w:rPr>
        <w:drawing>
          <wp:inline distT="0" distB="0" distL="0" distR="0" wp14:anchorId="31B740CF" wp14:editId="2D9BAD11">
            <wp:extent cx="5760720" cy="1820092"/>
            <wp:effectExtent l="0" t="0" r="0" b="889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1820092"/>
                    </a:xfrm>
                    <a:prstGeom prst="rect">
                      <a:avLst/>
                    </a:prstGeom>
                    <a:noFill/>
                    <a:ln>
                      <a:noFill/>
                    </a:ln>
                  </pic:spPr>
                </pic:pic>
              </a:graphicData>
            </a:graphic>
          </wp:inline>
        </w:drawing>
      </w:r>
    </w:p>
    <w:p w14:paraId="6C67FCD1" w14:textId="0B7E48B7" w:rsidR="005C62D1" w:rsidRPr="005C62D1" w:rsidRDefault="005C62D1" w:rsidP="005C62D1">
      <w:pPr>
        <w:spacing w:after="0"/>
        <w:jc w:val="both"/>
        <w:rPr>
          <w:sz w:val="20"/>
        </w:rPr>
      </w:pPr>
      <w:r w:rsidRPr="005C62D1">
        <w:rPr>
          <w:sz w:val="20"/>
        </w:rPr>
        <w:t xml:space="preserve">Step 3: Offset these patterns to get the inner wall of the infill as shown in </w:t>
      </w:r>
      <w:r>
        <w:rPr>
          <w:sz w:val="20"/>
        </w:rPr>
        <w:t>figure below</w:t>
      </w:r>
      <w:r w:rsidRPr="005C62D1">
        <w:rPr>
          <w:sz w:val="20"/>
        </w:rPr>
        <w:t>. Boundary fill</w:t>
      </w:r>
    </w:p>
    <w:p w14:paraId="0A4A27CB" w14:textId="06B83F0B" w:rsidR="005C62D1" w:rsidRDefault="005C62D1" w:rsidP="005C62D1">
      <w:pPr>
        <w:spacing w:after="0"/>
        <w:jc w:val="both"/>
        <w:rPr>
          <w:sz w:val="20"/>
        </w:rPr>
      </w:pPr>
      <w:r w:rsidRPr="005C62D1">
        <w:rPr>
          <w:sz w:val="20"/>
        </w:rPr>
        <w:t>block is used to create surfaces in the closely filled region.</w:t>
      </w:r>
    </w:p>
    <w:p w14:paraId="65574310" w14:textId="1F9CE7AD" w:rsidR="005C62D1" w:rsidRDefault="005C62D1" w:rsidP="005C62D1">
      <w:pPr>
        <w:spacing w:after="0"/>
        <w:jc w:val="both"/>
        <w:rPr>
          <w:sz w:val="20"/>
        </w:rPr>
      </w:pPr>
      <w:r w:rsidRPr="005C62D1">
        <w:rPr>
          <w:noProof/>
          <w:sz w:val="20"/>
          <w:lang w:val="en-US"/>
        </w:rPr>
        <w:drawing>
          <wp:inline distT="0" distB="0" distL="0" distR="0" wp14:anchorId="60CB64F4" wp14:editId="60C9A82A">
            <wp:extent cx="5760720" cy="4147148"/>
            <wp:effectExtent l="0" t="0" r="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4147148"/>
                    </a:xfrm>
                    <a:prstGeom prst="rect">
                      <a:avLst/>
                    </a:prstGeom>
                    <a:noFill/>
                    <a:ln>
                      <a:noFill/>
                    </a:ln>
                  </pic:spPr>
                </pic:pic>
              </a:graphicData>
            </a:graphic>
          </wp:inline>
        </w:drawing>
      </w:r>
    </w:p>
    <w:p w14:paraId="73140CAC" w14:textId="77777777" w:rsidR="00477597" w:rsidRDefault="00477597" w:rsidP="00C86133">
      <w:pPr>
        <w:spacing w:after="0"/>
        <w:jc w:val="both"/>
        <w:rPr>
          <w:sz w:val="20"/>
        </w:rPr>
      </w:pPr>
    </w:p>
    <w:p w14:paraId="5D0E0BAB" w14:textId="4227271B" w:rsidR="00C86133" w:rsidRPr="00C86133" w:rsidRDefault="00C86133" w:rsidP="00C86133">
      <w:pPr>
        <w:spacing w:after="0"/>
        <w:jc w:val="both"/>
        <w:rPr>
          <w:sz w:val="20"/>
        </w:rPr>
      </w:pPr>
      <w:r w:rsidRPr="00C86133">
        <w:rPr>
          <w:sz w:val="20"/>
        </w:rPr>
        <w:t>Step 4: The boundary surfaces are limited within the maximum cross-section of the part by the</w:t>
      </w:r>
    </w:p>
    <w:p w14:paraId="7EE298CD" w14:textId="77777777" w:rsidR="00C86133" w:rsidRPr="00C86133" w:rsidRDefault="00C86133" w:rsidP="00C86133">
      <w:pPr>
        <w:spacing w:after="0"/>
        <w:jc w:val="both"/>
        <w:rPr>
          <w:sz w:val="20"/>
        </w:rPr>
      </w:pPr>
      <w:r w:rsidRPr="00C86133">
        <w:rPr>
          <w:sz w:val="20"/>
        </w:rPr>
        <w:t>intersection block. Here, the target is the output from the boundary surfaces and the tool is the</w:t>
      </w:r>
    </w:p>
    <w:p w14:paraId="560CF013" w14:textId="33452AB3" w:rsidR="00C86133" w:rsidRDefault="00C86133" w:rsidP="00C86133">
      <w:pPr>
        <w:spacing w:after="0"/>
        <w:jc w:val="both"/>
        <w:rPr>
          <w:sz w:val="20"/>
        </w:rPr>
      </w:pPr>
      <w:r w:rsidRPr="00C86133">
        <w:rPr>
          <w:sz w:val="20"/>
        </w:rPr>
        <w:t>bounding box of the part.</w:t>
      </w:r>
    </w:p>
    <w:p w14:paraId="4FD39EAD" w14:textId="25B403FC" w:rsidR="005C62D1" w:rsidRPr="00C86133" w:rsidRDefault="005C62D1" w:rsidP="00C86133">
      <w:pPr>
        <w:spacing w:after="0"/>
        <w:jc w:val="both"/>
        <w:rPr>
          <w:sz w:val="20"/>
        </w:rPr>
      </w:pPr>
      <w:r w:rsidRPr="005C62D1">
        <w:rPr>
          <w:noProof/>
          <w:sz w:val="20"/>
          <w:lang w:val="en-US"/>
        </w:rPr>
        <w:drawing>
          <wp:inline distT="0" distB="0" distL="0" distR="0" wp14:anchorId="709807C6" wp14:editId="78267C5B">
            <wp:extent cx="5760720" cy="2136026"/>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2136026"/>
                    </a:xfrm>
                    <a:prstGeom prst="rect">
                      <a:avLst/>
                    </a:prstGeom>
                    <a:noFill/>
                    <a:ln>
                      <a:noFill/>
                    </a:ln>
                  </pic:spPr>
                </pic:pic>
              </a:graphicData>
            </a:graphic>
          </wp:inline>
        </w:drawing>
      </w:r>
    </w:p>
    <w:p w14:paraId="4962EFA1" w14:textId="77777777" w:rsidR="00C86133" w:rsidRPr="00C86133" w:rsidRDefault="00C86133" w:rsidP="00C86133">
      <w:pPr>
        <w:spacing w:after="0"/>
        <w:jc w:val="both"/>
        <w:rPr>
          <w:sz w:val="20"/>
        </w:rPr>
      </w:pPr>
      <w:r w:rsidRPr="00C86133">
        <w:rPr>
          <w:sz w:val="20"/>
        </w:rPr>
        <w:t>Step 5: These boundary surfaces are extruded and subtracted using the difference block from the</w:t>
      </w:r>
    </w:p>
    <w:p w14:paraId="738FCE73" w14:textId="777DB434" w:rsidR="00C86133" w:rsidRDefault="00C86133" w:rsidP="00C86133">
      <w:pPr>
        <w:spacing w:after="0"/>
        <w:jc w:val="both"/>
        <w:rPr>
          <w:sz w:val="20"/>
        </w:rPr>
      </w:pPr>
      <w:r w:rsidRPr="00C86133">
        <w:rPr>
          <w:sz w:val="20"/>
        </w:rPr>
        <w:t>original solid model to get the infill structure without the shell structure.</w:t>
      </w:r>
    </w:p>
    <w:p w14:paraId="2C77268D" w14:textId="08778D76" w:rsidR="005C62D1" w:rsidRPr="00C86133" w:rsidRDefault="005C62D1" w:rsidP="00C86133">
      <w:pPr>
        <w:spacing w:after="0"/>
        <w:jc w:val="both"/>
        <w:rPr>
          <w:sz w:val="20"/>
        </w:rPr>
      </w:pPr>
      <w:r w:rsidRPr="005C62D1">
        <w:rPr>
          <w:noProof/>
          <w:sz w:val="20"/>
          <w:lang w:val="en-US"/>
        </w:rPr>
        <w:drawing>
          <wp:inline distT="0" distB="0" distL="0" distR="0" wp14:anchorId="2040D16E" wp14:editId="660F5C51">
            <wp:extent cx="5760720" cy="1379428"/>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1379428"/>
                    </a:xfrm>
                    <a:prstGeom prst="rect">
                      <a:avLst/>
                    </a:prstGeom>
                    <a:noFill/>
                    <a:ln>
                      <a:noFill/>
                    </a:ln>
                  </pic:spPr>
                </pic:pic>
              </a:graphicData>
            </a:graphic>
          </wp:inline>
        </w:drawing>
      </w:r>
    </w:p>
    <w:p w14:paraId="480FD7AE" w14:textId="77777777" w:rsidR="005C62D1" w:rsidRDefault="005C62D1" w:rsidP="00C86133">
      <w:pPr>
        <w:spacing w:after="0"/>
        <w:jc w:val="both"/>
        <w:rPr>
          <w:sz w:val="20"/>
        </w:rPr>
      </w:pPr>
    </w:p>
    <w:p w14:paraId="6FD35DA6" w14:textId="77777777" w:rsidR="005C62D1" w:rsidRDefault="005C62D1" w:rsidP="00C86133">
      <w:pPr>
        <w:spacing w:after="0"/>
        <w:jc w:val="both"/>
        <w:rPr>
          <w:sz w:val="20"/>
        </w:rPr>
      </w:pPr>
    </w:p>
    <w:p w14:paraId="6EEFFF3F" w14:textId="22D21098" w:rsidR="00C86133" w:rsidRPr="00C86133" w:rsidRDefault="00C86133" w:rsidP="00C86133">
      <w:pPr>
        <w:spacing w:after="0"/>
        <w:jc w:val="both"/>
        <w:rPr>
          <w:sz w:val="20"/>
        </w:rPr>
      </w:pPr>
      <w:r w:rsidRPr="00C86133">
        <w:rPr>
          <w:sz w:val="20"/>
        </w:rPr>
        <w:t>Step 6: The surfaces are broken down from the solid part and joined together using the union block.</w:t>
      </w:r>
    </w:p>
    <w:p w14:paraId="081FFC44" w14:textId="1ABC9F9E" w:rsidR="00C86133" w:rsidRDefault="00C86133" w:rsidP="00C86133">
      <w:pPr>
        <w:spacing w:after="0"/>
        <w:jc w:val="both"/>
        <w:rPr>
          <w:sz w:val="20"/>
        </w:rPr>
      </w:pPr>
      <w:r w:rsidRPr="00C86133">
        <w:rPr>
          <w:sz w:val="20"/>
        </w:rPr>
        <w:t>A shell model of 1mm thickness is created using the Thicken body block.</w:t>
      </w:r>
    </w:p>
    <w:p w14:paraId="5144430B" w14:textId="00144445" w:rsidR="005C62D1" w:rsidRPr="00C86133" w:rsidRDefault="005C62D1" w:rsidP="00C86133">
      <w:pPr>
        <w:spacing w:after="0"/>
        <w:jc w:val="both"/>
        <w:rPr>
          <w:sz w:val="20"/>
        </w:rPr>
      </w:pPr>
      <w:r w:rsidRPr="005C62D1">
        <w:rPr>
          <w:noProof/>
          <w:sz w:val="20"/>
          <w:lang w:val="en-US"/>
        </w:rPr>
        <w:drawing>
          <wp:inline distT="0" distB="0" distL="0" distR="0" wp14:anchorId="14C2B214" wp14:editId="33DEDAE1">
            <wp:extent cx="5760720" cy="2308059"/>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2308059"/>
                    </a:xfrm>
                    <a:prstGeom prst="rect">
                      <a:avLst/>
                    </a:prstGeom>
                    <a:noFill/>
                    <a:ln>
                      <a:noFill/>
                    </a:ln>
                  </pic:spPr>
                </pic:pic>
              </a:graphicData>
            </a:graphic>
          </wp:inline>
        </w:drawing>
      </w:r>
    </w:p>
    <w:p w14:paraId="4E1D713A" w14:textId="077FC681" w:rsidR="00C86133" w:rsidRDefault="00C86133" w:rsidP="00C86133">
      <w:pPr>
        <w:spacing w:after="0"/>
        <w:jc w:val="both"/>
        <w:rPr>
          <w:sz w:val="20"/>
        </w:rPr>
      </w:pPr>
      <w:r w:rsidRPr="00C86133">
        <w:rPr>
          <w:sz w:val="20"/>
        </w:rPr>
        <w:t>Step 7: The shell body is combined with the skeleton infill structure to get the overall infill model.</w:t>
      </w:r>
    </w:p>
    <w:p w14:paraId="4BEEF165" w14:textId="638073DB" w:rsidR="005C62D1" w:rsidRPr="00C86133" w:rsidRDefault="005C62D1" w:rsidP="00C86133">
      <w:pPr>
        <w:spacing w:after="0"/>
        <w:jc w:val="both"/>
        <w:rPr>
          <w:sz w:val="20"/>
        </w:rPr>
      </w:pPr>
      <w:r w:rsidRPr="005C62D1">
        <w:rPr>
          <w:noProof/>
          <w:sz w:val="20"/>
          <w:lang w:val="en-US"/>
        </w:rPr>
        <w:drawing>
          <wp:inline distT="0" distB="0" distL="0" distR="0" wp14:anchorId="2C70E686" wp14:editId="6D881771">
            <wp:extent cx="5760720" cy="1744115"/>
            <wp:effectExtent l="0" t="0" r="0" b="889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1744115"/>
                    </a:xfrm>
                    <a:prstGeom prst="rect">
                      <a:avLst/>
                    </a:prstGeom>
                    <a:noFill/>
                    <a:ln>
                      <a:noFill/>
                    </a:ln>
                  </pic:spPr>
                </pic:pic>
              </a:graphicData>
            </a:graphic>
          </wp:inline>
        </w:drawing>
      </w:r>
    </w:p>
    <w:p w14:paraId="08177EF9" w14:textId="77777777" w:rsidR="005C62D1" w:rsidRDefault="00C86133" w:rsidP="00C86133">
      <w:pPr>
        <w:spacing w:after="0"/>
        <w:jc w:val="both"/>
        <w:rPr>
          <w:sz w:val="20"/>
        </w:rPr>
      </w:pPr>
      <w:r w:rsidRPr="00C86133">
        <w:rPr>
          <w:sz w:val="20"/>
        </w:rPr>
        <w:t>Step 8: Save STL and save STEP blocks are used to export the resultant model.</w:t>
      </w:r>
    </w:p>
    <w:p w14:paraId="59B501FC" w14:textId="77777777" w:rsidR="0090502B" w:rsidRDefault="005C62D1" w:rsidP="00C86133">
      <w:pPr>
        <w:spacing w:after="0"/>
        <w:jc w:val="both"/>
        <w:rPr>
          <w:sz w:val="20"/>
        </w:rPr>
      </w:pPr>
      <w:r w:rsidRPr="005C62D1">
        <w:rPr>
          <w:noProof/>
          <w:sz w:val="20"/>
          <w:lang w:val="en-US"/>
        </w:rPr>
        <w:drawing>
          <wp:inline distT="0" distB="0" distL="0" distR="0" wp14:anchorId="47ECA6DF" wp14:editId="157113C2">
            <wp:extent cx="5760720" cy="1856955"/>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60720" cy="1856955"/>
                    </a:xfrm>
                    <a:prstGeom prst="rect">
                      <a:avLst/>
                    </a:prstGeom>
                    <a:noFill/>
                    <a:ln>
                      <a:noFill/>
                    </a:ln>
                  </pic:spPr>
                </pic:pic>
              </a:graphicData>
            </a:graphic>
          </wp:inline>
        </w:drawing>
      </w:r>
    </w:p>
    <w:p w14:paraId="4FAD3961" w14:textId="77777777" w:rsidR="0090502B" w:rsidRDefault="0090502B" w:rsidP="00C86133">
      <w:pPr>
        <w:spacing w:after="0"/>
        <w:jc w:val="both"/>
        <w:rPr>
          <w:sz w:val="20"/>
        </w:rPr>
      </w:pPr>
    </w:p>
    <w:p w14:paraId="420F035F" w14:textId="55025FDC" w:rsidR="0090502B" w:rsidRDefault="009F2A2C" w:rsidP="00C86133">
      <w:pPr>
        <w:spacing w:after="0"/>
        <w:jc w:val="both"/>
        <w:rPr>
          <w:rFonts w:cstheme="minorHAnsi"/>
          <w:b/>
          <w:sz w:val="24"/>
        </w:rPr>
      </w:pPr>
      <w:r>
        <w:rPr>
          <w:rFonts w:cstheme="minorHAnsi"/>
          <w:b/>
          <w:sz w:val="24"/>
        </w:rPr>
        <w:t>Workflows for CAD bipolar plate mold g</w:t>
      </w:r>
      <w:r w:rsidR="0090502B" w:rsidRPr="0090502B">
        <w:rPr>
          <w:rFonts w:cstheme="minorHAnsi"/>
          <w:b/>
          <w:sz w:val="24"/>
        </w:rPr>
        <w:t>eneration</w:t>
      </w:r>
    </w:p>
    <w:p w14:paraId="2932C780" w14:textId="77777777" w:rsidR="0090502B" w:rsidRDefault="0090502B" w:rsidP="00C86133">
      <w:pPr>
        <w:spacing w:after="0"/>
        <w:jc w:val="both"/>
        <w:rPr>
          <w:rFonts w:cstheme="minorHAnsi"/>
          <w:b/>
          <w:sz w:val="24"/>
        </w:rPr>
      </w:pPr>
    </w:p>
    <w:p w14:paraId="0749449F" w14:textId="77777777" w:rsidR="0090502B" w:rsidRDefault="0090502B" w:rsidP="00C86133">
      <w:pPr>
        <w:spacing w:after="0"/>
        <w:jc w:val="both"/>
        <w:rPr>
          <w:rFonts w:cstheme="minorHAnsi"/>
          <w:sz w:val="20"/>
        </w:rPr>
      </w:pPr>
      <w:r w:rsidRPr="0090502B">
        <w:rPr>
          <w:rFonts w:cstheme="minorHAnsi"/>
          <w:sz w:val="20"/>
        </w:rPr>
        <w:t>The workflows are built by linking nodes to each other, while each node has its own functionality. Following are the steps, for generation of the Parametric CAD Models with the workflows.</w:t>
      </w:r>
    </w:p>
    <w:p w14:paraId="6F5042A2" w14:textId="77777777" w:rsidR="0090502B" w:rsidRDefault="0090502B" w:rsidP="00C86133">
      <w:pPr>
        <w:spacing w:after="0"/>
        <w:jc w:val="both"/>
        <w:rPr>
          <w:rFonts w:cstheme="minorHAnsi"/>
          <w:sz w:val="20"/>
        </w:rPr>
      </w:pPr>
    </w:p>
    <w:p w14:paraId="6232FF87" w14:textId="77777777" w:rsidR="0090502B" w:rsidRDefault="0090502B" w:rsidP="0090502B">
      <w:pPr>
        <w:pStyle w:val="Listenabsatz"/>
        <w:numPr>
          <w:ilvl w:val="0"/>
          <w:numId w:val="3"/>
        </w:numPr>
        <w:spacing w:after="0"/>
        <w:jc w:val="both"/>
        <w:rPr>
          <w:rFonts w:cstheme="minorHAnsi"/>
          <w:sz w:val="20"/>
        </w:rPr>
      </w:pPr>
      <w:r w:rsidRPr="0090502B">
        <w:rPr>
          <w:rFonts w:cstheme="minorHAnsi"/>
          <w:sz w:val="20"/>
        </w:rPr>
        <w:t>Uploading CAD bodies</w:t>
      </w:r>
    </w:p>
    <w:p w14:paraId="49B6C298" w14:textId="0DB4D05E" w:rsidR="0090502B" w:rsidRPr="0090502B" w:rsidRDefault="0090502B" w:rsidP="0090502B">
      <w:pPr>
        <w:spacing w:after="0"/>
        <w:jc w:val="both"/>
        <w:rPr>
          <w:rFonts w:cstheme="minorHAnsi"/>
          <w:sz w:val="20"/>
        </w:rPr>
      </w:pPr>
      <w:r w:rsidRPr="0090502B">
        <w:rPr>
          <w:rFonts w:cstheme="minorHAnsi"/>
          <w:sz w:val="20"/>
        </w:rPr>
        <w:t xml:space="preserve">After designing the CAD model in </w:t>
      </w:r>
      <w:r>
        <w:rPr>
          <w:rFonts w:cstheme="minorHAnsi"/>
          <w:sz w:val="20"/>
        </w:rPr>
        <w:t xml:space="preserve">e.g. </w:t>
      </w:r>
      <w:r w:rsidRPr="0090502B">
        <w:rPr>
          <w:rFonts w:cstheme="minorHAnsi"/>
          <w:sz w:val="20"/>
        </w:rPr>
        <w:t>SOLIDWORKS, upload the CAD files to SYNERA toll with help of the node “Relative path file”. The interface of SYNERA is divided into two regions. “Canvas” where you build your workflows and “Viewer” where you see the output i.e. 3D models. Once the file path is successfully, in you can see the 3D model of the part in the Viewer.</w:t>
      </w:r>
      <w:r w:rsidR="00B51A7F" w:rsidRPr="0090502B">
        <w:rPr>
          <w:rFonts w:cstheme="minorHAnsi"/>
          <w:sz w:val="20"/>
        </w:rPr>
        <w:br w:type="page"/>
      </w:r>
    </w:p>
    <w:p w14:paraId="5EE99909" w14:textId="56FEEC96" w:rsidR="0090502B" w:rsidRDefault="0090502B" w:rsidP="00054F13">
      <w:pPr>
        <w:spacing w:after="0"/>
        <w:rPr>
          <w:b/>
          <w:sz w:val="20"/>
          <w:u w:val="single"/>
        </w:rPr>
      </w:pPr>
      <w:r w:rsidRPr="0090502B">
        <w:rPr>
          <w:b/>
          <w:noProof/>
          <w:sz w:val="20"/>
          <w:u w:val="single"/>
          <w:lang w:val="en-US"/>
        </w:rPr>
        <w:lastRenderedPageBreak/>
        <w:drawing>
          <wp:inline distT="0" distB="0" distL="0" distR="0" wp14:anchorId="195A754D" wp14:editId="57684A80">
            <wp:extent cx="5760720" cy="3611816"/>
            <wp:effectExtent l="0" t="0" r="0" b="825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720" cy="3611816"/>
                    </a:xfrm>
                    <a:prstGeom prst="rect">
                      <a:avLst/>
                    </a:prstGeom>
                    <a:noFill/>
                    <a:ln>
                      <a:noFill/>
                    </a:ln>
                  </pic:spPr>
                </pic:pic>
              </a:graphicData>
            </a:graphic>
          </wp:inline>
        </w:drawing>
      </w:r>
    </w:p>
    <w:p w14:paraId="0CC71967" w14:textId="7590A2BD" w:rsidR="0090502B" w:rsidRDefault="0090502B" w:rsidP="00054F13">
      <w:pPr>
        <w:spacing w:after="0"/>
        <w:rPr>
          <w:b/>
          <w:sz w:val="20"/>
          <w:u w:val="single"/>
        </w:rPr>
      </w:pPr>
    </w:p>
    <w:p w14:paraId="48C01F60" w14:textId="57245CDA" w:rsidR="0090502B" w:rsidRPr="0090502B" w:rsidRDefault="009F2A2C" w:rsidP="0090502B">
      <w:pPr>
        <w:pStyle w:val="Listenabsatz"/>
        <w:numPr>
          <w:ilvl w:val="0"/>
          <w:numId w:val="3"/>
        </w:numPr>
        <w:spacing w:after="0"/>
        <w:rPr>
          <w:sz w:val="20"/>
        </w:rPr>
      </w:pPr>
      <w:r>
        <w:rPr>
          <w:sz w:val="20"/>
        </w:rPr>
        <w:t>C</w:t>
      </w:r>
      <w:r w:rsidR="0090502B" w:rsidRPr="0090502B">
        <w:rPr>
          <w:sz w:val="20"/>
        </w:rPr>
        <w:t>reating print pattern of Bi-Polar plate on Mold Part</w:t>
      </w:r>
    </w:p>
    <w:p w14:paraId="304E87A2" w14:textId="77777777" w:rsidR="0090502B" w:rsidRDefault="0090502B" w:rsidP="00054F13">
      <w:pPr>
        <w:spacing w:after="0"/>
        <w:rPr>
          <w:b/>
          <w:sz w:val="20"/>
          <w:u w:val="single"/>
        </w:rPr>
      </w:pPr>
    </w:p>
    <w:p w14:paraId="1A32BCED" w14:textId="5D669427" w:rsidR="0090502B" w:rsidRPr="008974E7" w:rsidRDefault="008974E7" w:rsidP="00054F13">
      <w:pPr>
        <w:spacing w:after="0"/>
        <w:rPr>
          <w:sz w:val="20"/>
        </w:rPr>
      </w:pPr>
      <w:r w:rsidRPr="008974E7">
        <w:rPr>
          <w:sz w:val="20"/>
        </w:rPr>
        <w:t>With the help of Boolean nodes, a surface geometry was created. This geometry consists of the channel pattern of the Bi-Polar plate. This later could be used for making an Extrude cut on the mold part creating a negative mold print on it. Nodes such as “Extrude surface body” and “Difference” were used to create the final cut.</w:t>
      </w:r>
    </w:p>
    <w:p w14:paraId="6E0AF4BA" w14:textId="434E92A1" w:rsidR="0090502B" w:rsidRDefault="0090502B" w:rsidP="00054F13">
      <w:pPr>
        <w:spacing w:after="0"/>
        <w:rPr>
          <w:b/>
          <w:sz w:val="20"/>
          <w:u w:val="single"/>
        </w:rPr>
      </w:pPr>
    </w:p>
    <w:p w14:paraId="385C0AFF" w14:textId="032FE42D" w:rsidR="008974E7" w:rsidRDefault="008974E7" w:rsidP="00054F13">
      <w:pPr>
        <w:spacing w:after="0"/>
        <w:rPr>
          <w:b/>
          <w:sz w:val="20"/>
          <w:u w:val="single"/>
        </w:rPr>
      </w:pPr>
      <w:r w:rsidRPr="008974E7">
        <w:rPr>
          <w:b/>
          <w:noProof/>
          <w:sz w:val="20"/>
          <w:u w:val="single"/>
          <w:lang w:val="en-US"/>
        </w:rPr>
        <w:drawing>
          <wp:inline distT="0" distB="0" distL="0" distR="0" wp14:anchorId="0B9C831F" wp14:editId="2BCD6F34">
            <wp:extent cx="5760720" cy="324447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3244470"/>
                    </a:xfrm>
                    <a:prstGeom prst="rect">
                      <a:avLst/>
                    </a:prstGeom>
                    <a:noFill/>
                    <a:ln>
                      <a:noFill/>
                    </a:ln>
                  </pic:spPr>
                </pic:pic>
              </a:graphicData>
            </a:graphic>
          </wp:inline>
        </w:drawing>
      </w:r>
    </w:p>
    <w:p w14:paraId="5F51545C" w14:textId="54FA670D" w:rsidR="008974E7" w:rsidRDefault="008974E7" w:rsidP="00054F13">
      <w:pPr>
        <w:spacing w:after="0"/>
        <w:rPr>
          <w:b/>
          <w:sz w:val="20"/>
          <w:u w:val="single"/>
        </w:rPr>
      </w:pPr>
    </w:p>
    <w:p w14:paraId="25504F51" w14:textId="14FF97FE" w:rsidR="008974E7" w:rsidRDefault="008974E7" w:rsidP="00054F13">
      <w:pPr>
        <w:spacing w:after="0"/>
        <w:rPr>
          <w:b/>
          <w:sz w:val="20"/>
          <w:u w:val="single"/>
        </w:rPr>
      </w:pPr>
    </w:p>
    <w:p w14:paraId="2C769C47" w14:textId="5D5621B0" w:rsidR="008974E7" w:rsidRDefault="008974E7" w:rsidP="00054F13">
      <w:pPr>
        <w:spacing w:after="0"/>
        <w:rPr>
          <w:b/>
          <w:sz w:val="20"/>
          <w:u w:val="single"/>
        </w:rPr>
      </w:pPr>
    </w:p>
    <w:p w14:paraId="4C574B3B" w14:textId="4BEDFEA9" w:rsidR="008974E7" w:rsidRDefault="008974E7" w:rsidP="00054F13">
      <w:pPr>
        <w:spacing w:after="0"/>
        <w:rPr>
          <w:b/>
          <w:sz w:val="20"/>
          <w:u w:val="single"/>
        </w:rPr>
      </w:pPr>
    </w:p>
    <w:p w14:paraId="2620BD2C" w14:textId="71D8584A" w:rsidR="009F2A2C" w:rsidRPr="009F2A2C" w:rsidRDefault="009F2A2C" w:rsidP="009F2A2C">
      <w:pPr>
        <w:pStyle w:val="Default"/>
        <w:numPr>
          <w:ilvl w:val="0"/>
          <w:numId w:val="3"/>
        </w:numPr>
        <w:rPr>
          <w:sz w:val="22"/>
          <w:szCs w:val="22"/>
        </w:rPr>
      </w:pPr>
      <w:r>
        <w:rPr>
          <w:sz w:val="22"/>
          <w:szCs w:val="22"/>
        </w:rPr>
        <w:t xml:space="preserve">Generation of Infill structures: </w:t>
      </w:r>
    </w:p>
    <w:p w14:paraId="044F6646" w14:textId="290B008C" w:rsidR="008974E7" w:rsidRPr="008974E7" w:rsidRDefault="008974E7" w:rsidP="00054F13">
      <w:pPr>
        <w:spacing w:after="0"/>
        <w:rPr>
          <w:sz w:val="20"/>
        </w:rPr>
      </w:pPr>
      <w:r w:rsidRPr="008974E7">
        <w:rPr>
          <w:sz w:val="20"/>
        </w:rPr>
        <w:t xml:space="preserve">The next step was to create infill patterns. “Grid” and “Honeycomb” infill pattern </w:t>
      </w:r>
      <w:proofErr w:type="gramStart"/>
      <w:r w:rsidRPr="008974E7">
        <w:rPr>
          <w:sz w:val="20"/>
        </w:rPr>
        <w:t>were</w:t>
      </w:r>
      <w:proofErr w:type="gramEnd"/>
      <w:r w:rsidRPr="008974E7">
        <w:rPr>
          <w:sz w:val="20"/>
        </w:rPr>
        <w:t xml:space="preserve"> the focus of this study. User input parameters such as Infill pattern, Infill density and Infill wall thickness can be adjusted with the help of sliders and drop-down functions</w:t>
      </w:r>
      <w:r>
        <w:rPr>
          <w:sz w:val="20"/>
        </w:rPr>
        <w:t>.</w:t>
      </w:r>
    </w:p>
    <w:p w14:paraId="0077C3E7" w14:textId="6DA32CAE" w:rsidR="008974E7" w:rsidRDefault="009F2A2C" w:rsidP="009F2A2C">
      <w:pPr>
        <w:spacing w:after="0"/>
        <w:jc w:val="center"/>
        <w:rPr>
          <w:b/>
          <w:sz w:val="20"/>
          <w:u w:val="single"/>
        </w:rPr>
      </w:pPr>
      <w:r w:rsidRPr="009F2A2C">
        <w:rPr>
          <w:noProof/>
          <w:sz w:val="20"/>
          <w:lang w:val="en-US"/>
        </w:rPr>
        <w:drawing>
          <wp:inline distT="0" distB="0" distL="0" distR="0" wp14:anchorId="30852F25" wp14:editId="43B8BB3D">
            <wp:extent cx="2540000" cy="3076189"/>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1">
                      <a:extLst>
                        <a:ext uri="{28A0092B-C50C-407E-A947-70E740481C1C}">
                          <a14:useLocalDpi xmlns:a14="http://schemas.microsoft.com/office/drawing/2010/main" val="0"/>
                        </a:ext>
                      </a:extLst>
                    </a:blip>
                    <a:srcRect b="3142"/>
                    <a:stretch/>
                  </pic:blipFill>
                  <pic:spPr bwMode="auto">
                    <a:xfrm>
                      <a:off x="0" y="0"/>
                      <a:ext cx="2542695" cy="3079453"/>
                    </a:xfrm>
                    <a:prstGeom prst="rect">
                      <a:avLst/>
                    </a:prstGeom>
                    <a:noFill/>
                    <a:ln>
                      <a:noFill/>
                    </a:ln>
                    <a:extLst>
                      <a:ext uri="{53640926-AAD7-44D8-BBD7-CCE9431645EC}">
                        <a14:shadowObscured xmlns:a14="http://schemas.microsoft.com/office/drawing/2010/main"/>
                      </a:ext>
                    </a:extLst>
                  </pic:spPr>
                </pic:pic>
              </a:graphicData>
            </a:graphic>
          </wp:inline>
        </w:drawing>
      </w:r>
    </w:p>
    <w:p w14:paraId="27F5EE72" w14:textId="085CE475" w:rsidR="009F2A2C" w:rsidRDefault="009F2A2C" w:rsidP="009F2A2C">
      <w:pPr>
        <w:spacing w:after="0"/>
        <w:jc w:val="both"/>
        <w:rPr>
          <w:sz w:val="20"/>
        </w:rPr>
      </w:pPr>
      <w:r w:rsidRPr="009F2A2C">
        <w:rPr>
          <w:sz w:val="20"/>
        </w:rPr>
        <w:t>Once all the input parameters are set, all the input values for the “Stream filter” function are set, and a body is created with specific pattern</w:t>
      </w:r>
      <w:r>
        <w:rPr>
          <w:sz w:val="20"/>
        </w:rPr>
        <w:t>.</w:t>
      </w:r>
    </w:p>
    <w:p w14:paraId="6EB523FC" w14:textId="20F3EB0E" w:rsidR="009F2A2C" w:rsidRDefault="009F2A2C" w:rsidP="009F2A2C">
      <w:pPr>
        <w:spacing w:after="0"/>
        <w:jc w:val="center"/>
        <w:rPr>
          <w:sz w:val="20"/>
        </w:rPr>
      </w:pPr>
      <w:r w:rsidRPr="009F2A2C">
        <w:rPr>
          <w:noProof/>
          <w:sz w:val="20"/>
          <w:lang w:val="en-US"/>
        </w:rPr>
        <w:drawing>
          <wp:inline distT="0" distB="0" distL="0" distR="0" wp14:anchorId="387B6107" wp14:editId="6D2DEEED">
            <wp:extent cx="5163077" cy="4713596"/>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70111" cy="4720018"/>
                    </a:xfrm>
                    <a:prstGeom prst="rect">
                      <a:avLst/>
                    </a:prstGeom>
                    <a:noFill/>
                    <a:ln>
                      <a:noFill/>
                    </a:ln>
                  </pic:spPr>
                </pic:pic>
              </a:graphicData>
            </a:graphic>
          </wp:inline>
        </w:drawing>
      </w:r>
    </w:p>
    <w:p w14:paraId="488D2E09" w14:textId="3CDD522E" w:rsidR="009F2A2C" w:rsidRDefault="009F2A2C" w:rsidP="009F2A2C">
      <w:pPr>
        <w:spacing w:after="0"/>
        <w:jc w:val="center"/>
        <w:rPr>
          <w:sz w:val="20"/>
        </w:rPr>
      </w:pPr>
    </w:p>
    <w:p w14:paraId="11A67D04" w14:textId="3B16AED0" w:rsidR="009F2A2C" w:rsidRDefault="009F2A2C" w:rsidP="009F2A2C">
      <w:pPr>
        <w:spacing w:after="0"/>
        <w:jc w:val="center"/>
        <w:rPr>
          <w:sz w:val="20"/>
        </w:rPr>
      </w:pPr>
    </w:p>
    <w:p w14:paraId="703D296B" w14:textId="1537DE05" w:rsidR="009F2A2C" w:rsidRDefault="009F2A2C" w:rsidP="009F2A2C">
      <w:pPr>
        <w:spacing w:after="0"/>
        <w:jc w:val="both"/>
        <w:rPr>
          <w:sz w:val="20"/>
        </w:rPr>
      </w:pPr>
      <w:r w:rsidRPr="009F2A2C">
        <w:rPr>
          <w:sz w:val="20"/>
        </w:rPr>
        <w:t>This infill pattern body will be later subtracted from the main body to create the actual infill structures in the body</w:t>
      </w:r>
      <w:r>
        <w:rPr>
          <w:sz w:val="20"/>
        </w:rPr>
        <w:t>.</w:t>
      </w:r>
    </w:p>
    <w:p w14:paraId="1B4D310C" w14:textId="505358E1" w:rsidR="009F2A2C" w:rsidRDefault="009F2A2C" w:rsidP="009F2A2C">
      <w:pPr>
        <w:spacing w:after="0"/>
        <w:jc w:val="both"/>
        <w:rPr>
          <w:sz w:val="20"/>
        </w:rPr>
      </w:pPr>
      <w:r w:rsidRPr="009F2A2C">
        <w:rPr>
          <w:noProof/>
          <w:sz w:val="20"/>
          <w:lang w:val="en-US"/>
        </w:rPr>
        <w:drawing>
          <wp:inline distT="0" distB="0" distL="0" distR="0" wp14:anchorId="7B8391A3" wp14:editId="7BD909A1">
            <wp:extent cx="5760720" cy="1697258"/>
            <wp:effectExtent l="0" t="0" r="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1697258"/>
                    </a:xfrm>
                    <a:prstGeom prst="rect">
                      <a:avLst/>
                    </a:prstGeom>
                    <a:noFill/>
                    <a:ln>
                      <a:noFill/>
                    </a:ln>
                  </pic:spPr>
                </pic:pic>
              </a:graphicData>
            </a:graphic>
          </wp:inline>
        </w:drawing>
      </w:r>
    </w:p>
    <w:p w14:paraId="47802E3A" w14:textId="1B7A33F3" w:rsidR="009F2A2C" w:rsidRDefault="009F2A2C" w:rsidP="009F2A2C">
      <w:pPr>
        <w:spacing w:after="0"/>
        <w:jc w:val="both"/>
      </w:pPr>
    </w:p>
    <w:p w14:paraId="3A27B2B1" w14:textId="1451C211" w:rsidR="009F2A2C" w:rsidRPr="009F2A2C" w:rsidRDefault="009F2A2C" w:rsidP="009F2A2C">
      <w:pPr>
        <w:pStyle w:val="Listenabsatz"/>
        <w:numPr>
          <w:ilvl w:val="0"/>
          <w:numId w:val="3"/>
        </w:numPr>
        <w:autoSpaceDE w:val="0"/>
        <w:autoSpaceDN w:val="0"/>
        <w:adjustRightInd w:val="0"/>
        <w:spacing w:after="0" w:line="240" w:lineRule="auto"/>
        <w:rPr>
          <w:rFonts w:cstheme="minorHAnsi"/>
          <w:color w:val="000000"/>
          <w:sz w:val="24"/>
          <w:szCs w:val="24"/>
          <w:lang w:val="en-US"/>
        </w:rPr>
      </w:pPr>
      <w:r w:rsidRPr="009F2A2C">
        <w:rPr>
          <w:rFonts w:cstheme="minorHAnsi"/>
          <w:color w:val="000000"/>
          <w:sz w:val="24"/>
          <w:szCs w:val="24"/>
          <w:lang w:val="en-US"/>
        </w:rPr>
        <w:t xml:space="preserve">Generating “shell Body”: </w:t>
      </w:r>
    </w:p>
    <w:p w14:paraId="28857F17" w14:textId="13BFFE01" w:rsidR="009F2A2C" w:rsidRDefault="009F2A2C" w:rsidP="009F2A2C">
      <w:pPr>
        <w:spacing w:after="0"/>
        <w:jc w:val="both"/>
      </w:pPr>
      <w:r>
        <w:t>Once we have the final Mold body with print of Bi-Polar plate, we can now generate a shell body with “thicken body” node where the thickness of the shell is also fed in.</w:t>
      </w:r>
    </w:p>
    <w:p w14:paraId="420CFB5A" w14:textId="0767545F" w:rsidR="009F2A2C" w:rsidRDefault="009F2A2C" w:rsidP="009F2A2C">
      <w:pPr>
        <w:spacing w:after="0"/>
        <w:jc w:val="both"/>
        <w:rPr>
          <w:sz w:val="20"/>
        </w:rPr>
      </w:pPr>
      <w:r w:rsidRPr="009F2A2C">
        <w:rPr>
          <w:noProof/>
          <w:sz w:val="20"/>
          <w:lang w:val="en-US"/>
        </w:rPr>
        <w:drawing>
          <wp:inline distT="0" distB="0" distL="0" distR="0" wp14:anchorId="4B776837" wp14:editId="2208156A">
            <wp:extent cx="5760720" cy="2127691"/>
            <wp:effectExtent l="0" t="0" r="0" b="635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2127691"/>
                    </a:xfrm>
                    <a:prstGeom prst="rect">
                      <a:avLst/>
                    </a:prstGeom>
                    <a:noFill/>
                    <a:ln>
                      <a:noFill/>
                    </a:ln>
                  </pic:spPr>
                </pic:pic>
              </a:graphicData>
            </a:graphic>
          </wp:inline>
        </w:drawing>
      </w:r>
    </w:p>
    <w:p w14:paraId="601B35BB" w14:textId="19504246" w:rsidR="009F2A2C" w:rsidRDefault="009F2A2C" w:rsidP="009F2A2C">
      <w:pPr>
        <w:pStyle w:val="Listenabsatz"/>
        <w:numPr>
          <w:ilvl w:val="0"/>
          <w:numId w:val="3"/>
        </w:numPr>
        <w:spacing w:after="0"/>
        <w:jc w:val="both"/>
      </w:pPr>
      <w:r w:rsidRPr="009F2A2C">
        <w:t>Creating final Printable body by combining Shell body and Infill structures:</w:t>
      </w:r>
    </w:p>
    <w:p w14:paraId="221C6FCB" w14:textId="0A8D0C3D" w:rsidR="009F2A2C" w:rsidRDefault="009F2A2C" w:rsidP="009F2A2C">
      <w:pPr>
        <w:spacing w:after="0"/>
        <w:jc w:val="both"/>
        <w:rPr>
          <w:sz w:val="20"/>
        </w:rPr>
      </w:pPr>
      <w:r>
        <w:t>Integrating the infill body into shell body with Boolean functions, we generate the final Printable body which would contain infill structures as well as the imprint of Bi-Polar plate.</w:t>
      </w:r>
    </w:p>
    <w:p w14:paraId="0FCDF93A" w14:textId="441BE104" w:rsidR="009F2A2C" w:rsidRDefault="009F2A2C" w:rsidP="009F2A2C">
      <w:pPr>
        <w:spacing w:after="0"/>
        <w:jc w:val="center"/>
        <w:rPr>
          <w:sz w:val="20"/>
        </w:rPr>
      </w:pPr>
      <w:r w:rsidRPr="009F2A2C">
        <w:rPr>
          <w:noProof/>
          <w:sz w:val="20"/>
          <w:lang w:val="en-US"/>
        </w:rPr>
        <w:drawing>
          <wp:inline distT="0" distB="0" distL="0" distR="0" wp14:anchorId="380C4BF5" wp14:editId="3816581A">
            <wp:extent cx="4360578" cy="3019741"/>
            <wp:effectExtent l="0" t="0" r="1905" b="9525"/>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368553" cy="3025264"/>
                    </a:xfrm>
                    <a:prstGeom prst="rect">
                      <a:avLst/>
                    </a:prstGeom>
                    <a:noFill/>
                    <a:ln>
                      <a:noFill/>
                    </a:ln>
                  </pic:spPr>
                </pic:pic>
              </a:graphicData>
            </a:graphic>
          </wp:inline>
        </w:drawing>
      </w:r>
    </w:p>
    <w:p w14:paraId="7C94311D" w14:textId="7949C5D4" w:rsidR="009F2A2C" w:rsidRDefault="009F2A2C" w:rsidP="009F2A2C">
      <w:pPr>
        <w:spacing w:after="0"/>
        <w:jc w:val="both"/>
      </w:pPr>
      <w:r>
        <w:t>SYNERA is a powerful tool where we can import or export any CAD file with just one click with help of “Export STEP” and “Export STL” nodes, while assigning a Unitary system to the part. To cross verify if the file is successfully exported, panel will show true or false respectively</w:t>
      </w:r>
      <w:r>
        <w:t>.</w:t>
      </w:r>
    </w:p>
    <w:p w14:paraId="1E3754CC" w14:textId="1F35D519" w:rsidR="009F2A2C" w:rsidRPr="009F2A2C" w:rsidRDefault="009F2A2C" w:rsidP="009F2A2C">
      <w:pPr>
        <w:spacing w:after="0"/>
        <w:jc w:val="both"/>
        <w:rPr>
          <w:sz w:val="20"/>
        </w:rPr>
      </w:pPr>
      <w:r w:rsidRPr="009F2A2C">
        <w:rPr>
          <w:noProof/>
          <w:sz w:val="20"/>
          <w:lang w:val="en-US"/>
        </w:rPr>
        <w:drawing>
          <wp:inline distT="0" distB="0" distL="0" distR="0" wp14:anchorId="34423E68" wp14:editId="38D6DEDE">
            <wp:extent cx="5760720" cy="2253734"/>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2253734"/>
                    </a:xfrm>
                    <a:prstGeom prst="rect">
                      <a:avLst/>
                    </a:prstGeom>
                    <a:noFill/>
                    <a:ln>
                      <a:noFill/>
                    </a:ln>
                  </pic:spPr>
                </pic:pic>
              </a:graphicData>
            </a:graphic>
          </wp:inline>
        </w:drawing>
      </w:r>
    </w:p>
    <w:p w14:paraId="475CFBD9" w14:textId="77777777" w:rsidR="008974E7" w:rsidRDefault="008974E7" w:rsidP="00054F13">
      <w:pPr>
        <w:spacing w:after="0"/>
        <w:rPr>
          <w:b/>
          <w:sz w:val="20"/>
          <w:u w:val="single"/>
        </w:rPr>
      </w:pPr>
    </w:p>
    <w:p w14:paraId="48B48A64" w14:textId="77777777" w:rsidR="009F2A2C" w:rsidRDefault="009F2A2C" w:rsidP="00054F13">
      <w:pPr>
        <w:spacing w:after="0"/>
        <w:rPr>
          <w:b/>
          <w:sz w:val="20"/>
          <w:u w:val="single"/>
        </w:rPr>
      </w:pPr>
    </w:p>
    <w:p w14:paraId="7C53B51D" w14:textId="292BDFD3" w:rsidR="009F2A2C" w:rsidRDefault="009F2A2C" w:rsidP="00E12F83">
      <w:pPr>
        <w:rPr>
          <w:b/>
          <w:sz w:val="20"/>
          <w:u w:val="single"/>
        </w:rPr>
      </w:pPr>
      <w:r>
        <w:rPr>
          <w:b/>
          <w:sz w:val="20"/>
          <w:u w:val="single"/>
        </w:rPr>
        <w:br w:type="page"/>
      </w:r>
    </w:p>
    <w:p w14:paraId="7E9E0DD1" w14:textId="32580715" w:rsidR="004F60F3" w:rsidRPr="001B087C" w:rsidRDefault="004F60F3" w:rsidP="00054F13">
      <w:pPr>
        <w:spacing w:after="0"/>
        <w:rPr>
          <w:b/>
          <w:sz w:val="20"/>
          <w:u w:val="single"/>
        </w:rPr>
      </w:pPr>
      <w:r w:rsidRPr="001B087C">
        <w:rPr>
          <w:b/>
          <w:sz w:val="20"/>
          <w:u w:val="single"/>
        </w:rPr>
        <w:t xml:space="preserve">Content of </w:t>
      </w:r>
      <w:r w:rsidR="00904D36">
        <w:rPr>
          <w:b/>
          <w:sz w:val="20"/>
          <w:u w:val="single"/>
        </w:rPr>
        <w:t xml:space="preserve">this </w:t>
      </w:r>
      <w:r w:rsidRPr="001B087C">
        <w:rPr>
          <w:b/>
          <w:sz w:val="20"/>
          <w:u w:val="single"/>
        </w:rPr>
        <w:t xml:space="preserve">data set: </w:t>
      </w:r>
      <w:r w:rsidR="00233208">
        <w:rPr>
          <w:b/>
          <w:sz w:val="20"/>
          <w:u w:val="single"/>
        </w:rPr>
        <w:t xml:space="preserve"> </w:t>
      </w:r>
    </w:p>
    <w:p w14:paraId="421E34B1" w14:textId="2720E0B2" w:rsidR="00054F13" w:rsidRPr="001B087C" w:rsidRDefault="00054F13">
      <w:pPr>
        <w:rPr>
          <w:sz w:val="18"/>
        </w:rPr>
      </w:pPr>
      <w:r w:rsidRPr="001B087C">
        <w:rPr>
          <w:sz w:val="18"/>
        </w:rPr>
        <w:t xml:space="preserve">The content of the data set </w:t>
      </w:r>
      <w:r w:rsidR="001B087C">
        <w:rPr>
          <w:sz w:val="18"/>
        </w:rPr>
        <w:t>is</w:t>
      </w:r>
      <w:r w:rsidRPr="001B087C">
        <w:rPr>
          <w:sz w:val="18"/>
        </w:rPr>
        <w:t xml:space="preserve"> listed below in the same order as </w:t>
      </w:r>
      <w:r w:rsidR="001B087C">
        <w:rPr>
          <w:sz w:val="18"/>
        </w:rPr>
        <w:t>the files</w:t>
      </w:r>
      <w:r w:rsidRPr="001B087C">
        <w:rPr>
          <w:sz w:val="18"/>
        </w:rPr>
        <w:t xml:space="preserve"> </w:t>
      </w:r>
      <w:r w:rsidR="001B087C">
        <w:rPr>
          <w:sz w:val="18"/>
        </w:rPr>
        <w:t>are</w:t>
      </w:r>
      <w:r w:rsidRPr="001B087C">
        <w:rPr>
          <w:sz w:val="18"/>
        </w:rPr>
        <w:t xml:space="preserve"> stored in the folder </w:t>
      </w:r>
      <w:r w:rsidR="006823F5" w:rsidRPr="006823F5">
        <w:rPr>
          <w:i/>
          <w:sz w:val="18"/>
        </w:rPr>
        <w:t>Supplementary_Data.zip</w:t>
      </w:r>
      <w:r w:rsidRPr="001B087C">
        <w:rPr>
          <w:sz w:val="18"/>
        </w:rPr>
        <w:t>. Files are highlighted with bold font</w:t>
      </w:r>
      <w:r w:rsidR="006823F5">
        <w:rPr>
          <w:sz w:val="18"/>
        </w:rPr>
        <w:t xml:space="preserve"> and a short description is given. </w:t>
      </w:r>
      <w:r w:rsidR="00904D36">
        <w:rPr>
          <w:sz w:val="18"/>
        </w:rPr>
        <w:t xml:space="preserve"> </w:t>
      </w:r>
    </w:p>
    <w:p w14:paraId="38D69710" w14:textId="77777777" w:rsidR="001B087C" w:rsidRDefault="003D516B" w:rsidP="003D516B">
      <w:pPr>
        <w:pStyle w:val="Listenabsatz"/>
        <w:numPr>
          <w:ilvl w:val="0"/>
          <w:numId w:val="1"/>
        </w:numPr>
        <w:rPr>
          <w:sz w:val="20"/>
        </w:rPr>
      </w:pPr>
      <w:r w:rsidRPr="00AF2163">
        <w:rPr>
          <w:sz w:val="20"/>
        </w:rPr>
        <w:t>Supplementary_Data_README.pdf</w:t>
      </w:r>
      <w:r w:rsidRPr="001B087C">
        <w:rPr>
          <w:sz w:val="20"/>
        </w:rPr>
        <w:t>: This readme file</w:t>
      </w:r>
    </w:p>
    <w:p w14:paraId="17ABA6DC" w14:textId="0620B5EF" w:rsidR="003D516B" w:rsidRPr="001B087C" w:rsidRDefault="001B087C" w:rsidP="003D516B">
      <w:pPr>
        <w:pStyle w:val="Listenabsatz"/>
        <w:numPr>
          <w:ilvl w:val="0"/>
          <w:numId w:val="1"/>
        </w:numPr>
        <w:rPr>
          <w:sz w:val="20"/>
        </w:rPr>
      </w:pPr>
      <w:r w:rsidRPr="006823F5">
        <w:rPr>
          <w:sz w:val="20"/>
        </w:rPr>
        <w:t>Supplementary_Data.zip:</w:t>
      </w:r>
      <w:r>
        <w:rPr>
          <w:sz w:val="20"/>
        </w:rPr>
        <w:t xml:space="preserve"> ZIP-Folder containing supplementary data</w:t>
      </w:r>
      <w:r w:rsidR="003D516B" w:rsidRPr="001B087C">
        <w:rPr>
          <w:sz w:val="20"/>
        </w:rPr>
        <w:t xml:space="preserve"> </w:t>
      </w:r>
    </w:p>
    <w:p w14:paraId="7C82663D" w14:textId="7269B62A" w:rsidR="003D516B" w:rsidRDefault="00AF2163" w:rsidP="00005D6B">
      <w:pPr>
        <w:pStyle w:val="Listenabsatz"/>
        <w:numPr>
          <w:ilvl w:val="1"/>
          <w:numId w:val="1"/>
        </w:numPr>
        <w:rPr>
          <w:sz w:val="20"/>
        </w:rPr>
      </w:pPr>
      <w:r>
        <w:rPr>
          <w:sz w:val="20"/>
        </w:rPr>
        <w:t>Images</w:t>
      </w:r>
    </w:p>
    <w:p w14:paraId="5066D4CD" w14:textId="796565E9" w:rsidR="00005D6B" w:rsidRDefault="00AF2163" w:rsidP="00AF2163">
      <w:pPr>
        <w:pStyle w:val="Listenabsatz"/>
        <w:numPr>
          <w:ilvl w:val="2"/>
          <w:numId w:val="1"/>
        </w:numPr>
        <w:rPr>
          <w:sz w:val="20"/>
        </w:rPr>
      </w:pPr>
      <w:r w:rsidRPr="00AF2163">
        <w:rPr>
          <w:sz w:val="20"/>
        </w:rPr>
        <w:t>Mass reduction of the injection mold</w:t>
      </w:r>
    </w:p>
    <w:p w14:paraId="4B901D2A" w14:textId="440B8E38" w:rsidR="003D516B" w:rsidRPr="00AF2163" w:rsidRDefault="00AF2163" w:rsidP="00AF2163">
      <w:pPr>
        <w:pStyle w:val="Listenabsatz"/>
        <w:numPr>
          <w:ilvl w:val="2"/>
          <w:numId w:val="1"/>
        </w:numPr>
        <w:rPr>
          <w:sz w:val="20"/>
        </w:rPr>
      </w:pPr>
      <w:r w:rsidRPr="00AF2163">
        <w:rPr>
          <w:sz w:val="20"/>
        </w:rPr>
        <w:t>Microscope Images - Injection Mold</w:t>
      </w:r>
    </w:p>
    <w:p w14:paraId="425D898C" w14:textId="1427D432" w:rsidR="002E769B" w:rsidRPr="00AF2163" w:rsidRDefault="00AF2163" w:rsidP="00AF2163">
      <w:pPr>
        <w:pStyle w:val="Listenabsatz"/>
        <w:numPr>
          <w:ilvl w:val="2"/>
          <w:numId w:val="1"/>
        </w:numPr>
        <w:rPr>
          <w:sz w:val="20"/>
        </w:rPr>
      </w:pPr>
      <w:r w:rsidRPr="00AF2163">
        <w:rPr>
          <w:sz w:val="20"/>
        </w:rPr>
        <w:t>FEM Simulation pictures of the injection mold</w:t>
      </w:r>
    </w:p>
    <w:p w14:paraId="2B06F3A6" w14:textId="2BCA9930" w:rsidR="00005D6B" w:rsidRDefault="00AF2163" w:rsidP="00005D6B">
      <w:pPr>
        <w:pStyle w:val="Listenabsatz"/>
        <w:numPr>
          <w:ilvl w:val="1"/>
          <w:numId w:val="1"/>
        </w:numPr>
        <w:rPr>
          <w:sz w:val="20"/>
        </w:rPr>
      </w:pPr>
      <w:r>
        <w:rPr>
          <w:sz w:val="20"/>
        </w:rPr>
        <w:t>Synera_infill_design_tool</w:t>
      </w:r>
    </w:p>
    <w:p w14:paraId="3F7E3AE8" w14:textId="0FDBA336" w:rsidR="00005D6B" w:rsidRDefault="00AF2163" w:rsidP="00AF2163">
      <w:pPr>
        <w:pStyle w:val="Listenabsatz"/>
        <w:numPr>
          <w:ilvl w:val="2"/>
          <w:numId w:val="1"/>
        </w:numPr>
        <w:rPr>
          <w:sz w:val="20"/>
        </w:rPr>
      </w:pPr>
      <w:r w:rsidRPr="00AF2163">
        <w:rPr>
          <w:sz w:val="20"/>
        </w:rPr>
        <w:t>scale_for_MEXM</w:t>
      </w:r>
      <w:r>
        <w:rPr>
          <w:sz w:val="20"/>
        </w:rPr>
        <w:t>.syn</w:t>
      </w:r>
    </w:p>
    <w:p w14:paraId="7AF94A91" w14:textId="3A65011D" w:rsidR="00005D6B" w:rsidRPr="00AF2163" w:rsidRDefault="00AF2163" w:rsidP="00AF2163">
      <w:pPr>
        <w:pStyle w:val="Listenabsatz"/>
        <w:numPr>
          <w:ilvl w:val="2"/>
          <w:numId w:val="1"/>
        </w:numPr>
        <w:rPr>
          <w:sz w:val="20"/>
        </w:rPr>
      </w:pPr>
      <w:r w:rsidRPr="00AF2163">
        <w:rPr>
          <w:sz w:val="20"/>
        </w:rPr>
        <w:t>Infill_model.syn</w:t>
      </w:r>
    </w:p>
    <w:p w14:paraId="5ADAF27C" w14:textId="3509DD5B" w:rsidR="00005D6B" w:rsidRDefault="00AF2163" w:rsidP="00AF2163">
      <w:pPr>
        <w:pStyle w:val="Listenabsatz"/>
        <w:numPr>
          <w:ilvl w:val="1"/>
          <w:numId w:val="1"/>
        </w:numPr>
        <w:rPr>
          <w:sz w:val="20"/>
        </w:rPr>
      </w:pPr>
      <w:r w:rsidRPr="00AF2163">
        <w:rPr>
          <w:sz w:val="20"/>
        </w:rPr>
        <w:t>CAD Files and Synera Workflow for the mold injection</w:t>
      </w:r>
    </w:p>
    <w:p w14:paraId="18BF58AF" w14:textId="15904F56" w:rsidR="008F7C23" w:rsidRDefault="00AF2163" w:rsidP="008F7C23">
      <w:pPr>
        <w:pStyle w:val="Listenabsatz"/>
        <w:numPr>
          <w:ilvl w:val="2"/>
          <w:numId w:val="1"/>
        </w:numPr>
        <w:rPr>
          <w:sz w:val="20"/>
        </w:rPr>
      </w:pPr>
      <w:r>
        <w:rPr>
          <w:sz w:val="20"/>
        </w:rPr>
        <w:t>Console</w:t>
      </w:r>
    </w:p>
    <w:p w14:paraId="38E94C07" w14:textId="642A09DA" w:rsidR="000C027D" w:rsidRPr="00AF2163" w:rsidRDefault="00AF2163" w:rsidP="00AF2163">
      <w:pPr>
        <w:pStyle w:val="Listenabsatz"/>
        <w:numPr>
          <w:ilvl w:val="2"/>
          <w:numId w:val="1"/>
        </w:numPr>
        <w:rPr>
          <w:sz w:val="20"/>
        </w:rPr>
      </w:pPr>
      <w:r w:rsidRPr="00AF2163">
        <w:rPr>
          <w:sz w:val="20"/>
        </w:rPr>
        <w:t>Cell with circular imprint</w:t>
      </w:r>
    </w:p>
    <w:p w14:paraId="5709142F" w14:textId="425E8465" w:rsidR="000C027D" w:rsidRPr="00AF2163" w:rsidRDefault="00AF2163" w:rsidP="00AF2163">
      <w:pPr>
        <w:pStyle w:val="Listenabsatz"/>
        <w:numPr>
          <w:ilvl w:val="2"/>
          <w:numId w:val="1"/>
        </w:numPr>
        <w:rPr>
          <w:sz w:val="20"/>
        </w:rPr>
      </w:pPr>
      <w:r w:rsidRPr="00AF2163">
        <w:rPr>
          <w:sz w:val="20"/>
        </w:rPr>
        <w:t>Cell</w:t>
      </w:r>
    </w:p>
    <w:p w14:paraId="0D84CD55" w14:textId="2A939BA8" w:rsidR="000C027D" w:rsidRPr="00AF2163" w:rsidRDefault="00AF2163" w:rsidP="00AF2163">
      <w:pPr>
        <w:pStyle w:val="Listenabsatz"/>
        <w:numPr>
          <w:ilvl w:val="2"/>
          <w:numId w:val="1"/>
        </w:numPr>
        <w:rPr>
          <w:sz w:val="20"/>
        </w:rPr>
      </w:pPr>
      <w:r w:rsidRPr="00AF2163">
        <w:rPr>
          <w:sz w:val="20"/>
        </w:rPr>
        <w:t xml:space="preserve">Mold Assembly with gate and ejector pins </w:t>
      </w:r>
    </w:p>
    <w:p w14:paraId="3AC5E0F7" w14:textId="774FB29F" w:rsidR="000C027D" w:rsidRPr="00AF2163" w:rsidRDefault="00AF2163" w:rsidP="00AF2163">
      <w:pPr>
        <w:pStyle w:val="Listenabsatz"/>
        <w:numPr>
          <w:ilvl w:val="2"/>
          <w:numId w:val="1"/>
        </w:numPr>
        <w:rPr>
          <w:sz w:val="20"/>
        </w:rPr>
      </w:pPr>
      <w:r w:rsidRPr="00AF2163">
        <w:rPr>
          <w:sz w:val="20"/>
        </w:rPr>
        <w:t>Mold workflow for Infill structures.syn</w:t>
      </w:r>
    </w:p>
    <w:p w14:paraId="54542837" w14:textId="032D79DC" w:rsidR="000C027D" w:rsidRPr="00AF2163" w:rsidRDefault="00AF2163" w:rsidP="00AF2163">
      <w:pPr>
        <w:pStyle w:val="Listenabsatz"/>
        <w:numPr>
          <w:ilvl w:val="2"/>
          <w:numId w:val="1"/>
        </w:numPr>
        <w:rPr>
          <w:sz w:val="20"/>
        </w:rPr>
      </w:pPr>
      <w:r w:rsidRPr="00AF2163">
        <w:rPr>
          <w:sz w:val="20"/>
        </w:rPr>
        <w:t xml:space="preserve">Scaled_CAVITY INSERT </w:t>
      </w:r>
    </w:p>
    <w:p w14:paraId="5700DC1C" w14:textId="700A98FE" w:rsidR="000C027D" w:rsidRPr="00AF2163" w:rsidRDefault="00AF2163" w:rsidP="00AF2163">
      <w:pPr>
        <w:pStyle w:val="Listenabsatz"/>
        <w:numPr>
          <w:ilvl w:val="2"/>
          <w:numId w:val="1"/>
        </w:numPr>
        <w:rPr>
          <w:sz w:val="20"/>
        </w:rPr>
      </w:pPr>
      <w:r w:rsidRPr="00AF2163">
        <w:rPr>
          <w:sz w:val="20"/>
        </w:rPr>
        <w:t xml:space="preserve">Scaled_CORE INSERT </w:t>
      </w:r>
    </w:p>
    <w:p w14:paraId="49CAE54B" w14:textId="1E6EEA14" w:rsidR="000C027D" w:rsidRDefault="00AF2163" w:rsidP="00AF2163">
      <w:pPr>
        <w:pStyle w:val="Listenabsatz"/>
        <w:numPr>
          <w:ilvl w:val="1"/>
          <w:numId w:val="1"/>
        </w:numPr>
        <w:rPr>
          <w:sz w:val="20"/>
        </w:rPr>
      </w:pPr>
      <w:r w:rsidRPr="00AF2163">
        <w:rPr>
          <w:sz w:val="20"/>
        </w:rPr>
        <w:t>SYNERA Workflow</w:t>
      </w:r>
    </w:p>
    <w:p w14:paraId="62435385" w14:textId="1783B52E" w:rsidR="00770456" w:rsidRPr="006976B2" w:rsidRDefault="006976B2" w:rsidP="000A2E2C">
      <w:pPr>
        <w:pStyle w:val="Listenabsatz"/>
        <w:numPr>
          <w:ilvl w:val="2"/>
          <w:numId w:val="1"/>
        </w:numPr>
        <w:rPr>
          <w:sz w:val="20"/>
        </w:rPr>
      </w:pPr>
      <w:r w:rsidRPr="006976B2">
        <w:rPr>
          <w:sz w:val="20"/>
        </w:rPr>
        <w:t>Workflow images</w:t>
      </w:r>
      <w:bookmarkStart w:id="0" w:name="_GoBack"/>
      <w:bookmarkEnd w:id="0"/>
    </w:p>
    <w:p w14:paraId="7E8AD236" w14:textId="5B4FEDC7" w:rsidR="00C233B5" w:rsidRPr="001B087C" w:rsidRDefault="002F6FBB" w:rsidP="000A2E2C">
      <w:pPr>
        <w:rPr>
          <w:b/>
          <w:sz w:val="20"/>
          <w:u w:val="single"/>
        </w:rPr>
      </w:pPr>
      <w:r w:rsidRPr="001B087C">
        <w:rPr>
          <w:b/>
          <w:sz w:val="20"/>
          <w:u w:val="single"/>
        </w:rPr>
        <w:t>License:</w:t>
      </w:r>
    </w:p>
    <w:p w14:paraId="49459EA5" w14:textId="5790B458" w:rsidR="000A2E2C" w:rsidRPr="001B087C" w:rsidRDefault="00770456" w:rsidP="004E333F">
      <w:pPr>
        <w:rPr>
          <w:sz w:val="20"/>
        </w:rPr>
      </w:pPr>
      <w:r w:rsidRPr="001B087C">
        <w:rPr>
          <w:sz w:val="20"/>
        </w:rPr>
        <w:t xml:space="preserve">The data is made available under the </w:t>
      </w:r>
      <w:r w:rsidRPr="0010777C">
        <w:rPr>
          <w:i/>
          <w:sz w:val="20"/>
        </w:rPr>
        <w:t>Attribution 4.0 International (CC BY 4.0)</w:t>
      </w:r>
      <w:r w:rsidRPr="001B087C">
        <w:rPr>
          <w:sz w:val="20"/>
        </w:rPr>
        <w:t xml:space="preserve"> </w:t>
      </w:r>
      <w:r w:rsidR="0010777C">
        <w:rPr>
          <w:i/>
          <w:sz w:val="20"/>
        </w:rPr>
        <w:t>L</w:t>
      </w:r>
      <w:r w:rsidRPr="0010777C">
        <w:rPr>
          <w:i/>
          <w:sz w:val="20"/>
        </w:rPr>
        <w:t>icense</w:t>
      </w:r>
      <w:r w:rsidRPr="001B087C">
        <w:rPr>
          <w:sz w:val="20"/>
        </w:rPr>
        <w:t xml:space="preserve">: </w:t>
      </w:r>
      <w:hyperlink r:id="rId27" w:history="1">
        <w:r w:rsidRPr="001B087C">
          <w:rPr>
            <w:rStyle w:val="Hyperlink"/>
            <w:sz w:val="20"/>
          </w:rPr>
          <w:t>https://creativecommons.org/licenses/by/4.0/</w:t>
        </w:r>
      </w:hyperlink>
      <w:r w:rsidR="00054F13" w:rsidRPr="001B087C">
        <w:rPr>
          <w:rStyle w:val="Hyperlink"/>
          <w:sz w:val="20"/>
        </w:rPr>
        <w:t xml:space="preserve"> </w:t>
      </w:r>
    </w:p>
    <w:p w14:paraId="52167809" w14:textId="77777777" w:rsidR="004F60F3" w:rsidRPr="001B087C" w:rsidRDefault="004F60F3">
      <w:pPr>
        <w:rPr>
          <w:sz w:val="20"/>
        </w:rPr>
      </w:pPr>
    </w:p>
    <w:p w14:paraId="2787446D" w14:textId="0CD73FD4" w:rsidR="00B925F4" w:rsidRPr="001B087C" w:rsidRDefault="00B925F4">
      <w:pPr>
        <w:rPr>
          <w:sz w:val="20"/>
        </w:rPr>
      </w:pPr>
    </w:p>
    <w:sectPr w:rsidR="00B925F4" w:rsidRPr="001B087C" w:rsidSect="00351B0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Franklin Gothic Book">
    <w:altName w:val="Franklin Gothic"/>
    <w:panose1 w:val="020B05030201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4439C"/>
    <w:multiLevelType w:val="hybridMultilevel"/>
    <w:tmpl w:val="17EC3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DD261B"/>
    <w:multiLevelType w:val="hybridMultilevel"/>
    <w:tmpl w:val="DEE0F54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5B0148A"/>
    <w:multiLevelType w:val="hybridMultilevel"/>
    <w:tmpl w:val="08145CC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A10"/>
    <w:rsid w:val="00005D6B"/>
    <w:rsid w:val="000143B4"/>
    <w:rsid w:val="00054F13"/>
    <w:rsid w:val="000A2E2C"/>
    <w:rsid w:val="000C027D"/>
    <w:rsid w:val="0010777C"/>
    <w:rsid w:val="001714FE"/>
    <w:rsid w:val="00181E10"/>
    <w:rsid w:val="001907A5"/>
    <w:rsid w:val="001B087C"/>
    <w:rsid w:val="001E03BD"/>
    <w:rsid w:val="001E17B3"/>
    <w:rsid w:val="00233208"/>
    <w:rsid w:val="0024022E"/>
    <w:rsid w:val="00240479"/>
    <w:rsid w:val="00261C35"/>
    <w:rsid w:val="002E769B"/>
    <w:rsid w:val="002F6FBB"/>
    <w:rsid w:val="00302AFE"/>
    <w:rsid w:val="00351B09"/>
    <w:rsid w:val="00383CFF"/>
    <w:rsid w:val="003C5EE9"/>
    <w:rsid w:val="003D516B"/>
    <w:rsid w:val="003D553D"/>
    <w:rsid w:val="003D6AB6"/>
    <w:rsid w:val="003E3116"/>
    <w:rsid w:val="003E55D8"/>
    <w:rsid w:val="00404C2D"/>
    <w:rsid w:val="004100AB"/>
    <w:rsid w:val="00454597"/>
    <w:rsid w:val="00467416"/>
    <w:rsid w:val="00477597"/>
    <w:rsid w:val="004E333F"/>
    <w:rsid w:val="004F197F"/>
    <w:rsid w:val="004F60F3"/>
    <w:rsid w:val="00540C29"/>
    <w:rsid w:val="00565F9E"/>
    <w:rsid w:val="005855FB"/>
    <w:rsid w:val="005869D1"/>
    <w:rsid w:val="00586A10"/>
    <w:rsid w:val="005C62D1"/>
    <w:rsid w:val="005C68EA"/>
    <w:rsid w:val="006137F5"/>
    <w:rsid w:val="006426A5"/>
    <w:rsid w:val="00680631"/>
    <w:rsid w:val="006823F5"/>
    <w:rsid w:val="00686CB5"/>
    <w:rsid w:val="006953DA"/>
    <w:rsid w:val="006976B2"/>
    <w:rsid w:val="006A3BD7"/>
    <w:rsid w:val="006C7DA5"/>
    <w:rsid w:val="006D6AAE"/>
    <w:rsid w:val="006D6C9D"/>
    <w:rsid w:val="006E2945"/>
    <w:rsid w:val="006E6DCE"/>
    <w:rsid w:val="007047AA"/>
    <w:rsid w:val="00714CAD"/>
    <w:rsid w:val="00756050"/>
    <w:rsid w:val="00767923"/>
    <w:rsid w:val="00770456"/>
    <w:rsid w:val="0078431F"/>
    <w:rsid w:val="007C0598"/>
    <w:rsid w:val="007E4AB1"/>
    <w:rsid w:val="0080569E"/>
    <w:rsid w:val="00866A54"/>
    <w:rsid w:val="00867918"/>
    <w:rsid w:val="008714CD"/>
    <w:rsid w:val="008974E7"/>
    <w:rsid w:val="008F7C23"/>
    <w:rsid w:val="0090053F"/>
    <w:rsid w:val="00904D36"/>
    <w:rsid w:val="0090502B"/>
    <w:rsid w:val="009567A4"/>
    <w:rsid w:val="009775C3"/>
    <w:rsid w:val="00984DF7"/>
    <w:rsid w:val="009D0502"/>
    <w:rsid w:val="009F2A2C"/>
    <w:rsid w:val="00A02740"/>
    <w:rsid w:val="00A444BB"/>
    <w:rsid w:val="00A65D26"/>
    <w:rsid w:val="00A976B1"/>
    <w:rsid w:val="00AC7A4E"/>
    <w:rsid w:val="00AF2163"/>
    <w:rsid w:val="00B32DD7"/>
    <w:rsid w:val="00B51A7F"/>
    <w:rsid w:val="00B925F4"/>
    <w:rsid w:val="00BC3F34"/>
    <w:rsid w:val="00C00B23"/>
    <w:rsid w:val="00C233B5"/>
    <w:rsid w:val="00C41EAA"/>
    <w:rsid w:val="00C86133"/>
    <w:rsid w:val="00CC1164"/>
    <w:rsid w:val="00CE1719"/>
    <w:rsid w:val="00D14834"/>
    <w:rsid w:val="00D357EE"/>
    <w:rsid w:val="00D409F1"/>
    <w:rsid w:val="00D47BE0"/>
    <w:rsid w:val="00D65BE8"/>
    <w:rsid w:val="00DE454D"/>
    <w:rsid w:val="00E03712"/>
    <w:rsid w:val="00E12F83"/>
    <w:rsid w:val="00E61974"/>
    <w:rsid w:val="00EA4E7B"/>
    <w:rsid w:val="00EE2748"/>
    <w:rsid w:val="00EE3262"/>
    <w:rsid w:val="00F22EE1"/>
    <w:rsid w:val="00F65534"/>
    <w:rsid w:val="00F854B2"/>
    <w:rsid w:val="00FC0AAC"/>
    <w:rsid w:val="00FC22F4"/>
    <w:rsid w:val="00FF51BC"/>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2628B"/>
  <w15:chartTrackingRefBased/>
  <w15:docId w15:val="{C12EF62C-A20A-4D3C-AB23-1A91B6248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90053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4F60F3"/>
    <w:rPr>
      <w:color w:val="0563C1" w:themeColor="hyperlink"/>
      <w:u w:val="single"/>
    </w:rPr>
  </w:style>
  <w:style w:type="character" w:customStyle="1" w:styleId="UnresolvedMention">
    <w:name w:val="Unresolved Mention"/>
    <w:basedOn w:val="Absatz-Standardschriftart"/>
    <w:uiPriority w:val="99"/>
    <w:semiHidden/>
    <w:unhideWhenUsed/>
    <w:rsid w:val="004F60F3"/>
    <w:rPr>
      <w:color w:val="605E5C"/>
      <w:shd w:val="clear" w:color="auto" w:fill="E1DFDD"/>
    </w:rPr>
  </w:style>
  <w:style w:type="character" w:customStyle="1" w:styleId="berschrift1Zchn">
    <w:name w:val="Überschrift 1 Zchn"/>
    <w:basedOn w:val="Absatz-Standardschriftart"/>
    <w:link w:val="berschrift1"/>
    <w:uiPriority w:val="9"/>
    <w:rsid w:val="0090053F"/>
    <w:rPr>
      <w:rFonts w:asciiTheme="majorHAnsi" w:eastAsiaTheme="majorEastAsia" w:hAnsiTheme="majorHAnsi" w:cstheme="majorBidi"/>
      <w:color w:val="2F5496" w:themeColor="accent1" w:themeShade="BF"/>
      <w:sz w:val="32"/>
      <w:szCs w:val="32"/>
    </w:rPr>
  </w:style>
  <w:style w:type="paragraph" w:styleId="Listenabsatz">
    <w:name w:val="List Paragraph"/>
    <w:basedOn w:val="Standard"/>
    <w:uiPriority w:val="34"/>
    <w:qFormat/>
    <w:rsid w:val="00467416"/>
    <w:pPr>
      <w:ind w:left="720"/>
      <w:contextualSpacing/>
    </w:pPr>
  </w:style>
  <w:style w:type="character" w:styleId="BesuchterLink">
    <w:name w:val="FollowedHyperlink"/>
    <w:basedOn w:val="Absatz-Standardschriftart"/>
    <w:uiPriority w:val="99"/>
    <w:semiHidden/>
    <w:unhideWhenUsed/>
    <w:rsid w:val="00054F13"/>
    <w:rPr>
      <w:color w:val="954F72" w:themeColor="followedHyperlink"/>
      <w:u w:val="single"/>
    </w:rPr>
  </w:style>
  <w:style w:type="character" w:styleId="Kommentarzeichen">
    <w:name w:val="annotation reference"/>
    <w:basedOn w:val="Absatz-Standardschriftart"/>
    <w:uiPriority w:val="99"/>
    <w:semiHidden/>
    <w:unhideWhenUsed/>
    <w:rsid w:val="00302AFE"/>
    <w:rPr>
      <w:sz w:val="16"/>
      <w:szCs w:val="16"/>
    </w:rPr>
  </w:style>
  <w:style w:type="paragraph" w:styleId="Kommentartext">
    <w:name w:val="annotation text"/>
    <w:basedOn w:val="Standard"/>
    <w:link w:val="KommentartextZchn"/>
    <w:uiPriority w:val="99"/>
    <w:semiHidden/>
    <w:unhideWhenUsed/>
    <w:rsid w:val="00302AF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02AFE"/>
    <w:rPr>
      <w:sz w:val="20"/>
      <w:szCs w:val="20"/>
    </w:rPr>
  </w:style>
  <w:style w:type="paragraph" w:styleId="Kommentarthema">
    <w:name w:val="annotation subject"/>
    <w:basedOn w:val="Kommentartext"/>
    <w:next w:val="Kommentartext"/>
    <w:link w:val="KommentarthemaZchn"/>
    <w:uiPriority w:val="99"/>
    <w:semiHidden/>
    <w:unhideWhenUsed/>
    <w:rsid w:val="00302AFE"/>
    <w:rPr>
      <w:b/>
      <w:bCs/>
    </w:rPr>
  </w:style>
  <w:style w:type="character" w:customStyle="1" w:styleId="KommentarthemaZchn">
    <w:name w:val="Kommentarthema Zchn"/>
    <w:basedOn w:val="KommentartextZchn"/>
    <w:link w:val="Kommentarthema"/>
    <w:uiPriority w:val="99"/>
    <w:semiHidden/>
    <w:rsid w:val="00302AFE"/>
    <w:rPr>
      <w:b/>
      <w:bCs/>
      <w:sz w:val="20"/>
      <w:szCs w:val="20"/>
    </w:rPr>
  </w:style>
  <w:style w:type="paragraph" w:styleId="Sprechblasentext">
    <w:name w:val="Balloon Text"/>
    <w:basedOn w:val="Standard"/>
    <w:link w:val="SprechblasentextZchn"/>
    <w:uiPriority w:val="99"/>
    <w:semiHidden/>
    <w:unhideWhenUsed/>
    <w:rsid w:val="00302AF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02AFE"/>
    <w:rPr>
      <w:rFonts w:ascii="Segoe UI" w:hAnsi="Segoe UI" w:cs="Segoe UI"/>
      <w:sz w:val="18"/>
      <w:szCs w:val="18"/>
    </w:rPr>
  </w:style>
  <w:style w:type="paragraph" w:customStyle="1" w:styleId="Default">
    <w:name w:val="Default"/>
    <w:rsid w:val="009F2A2C"/>
    <w:pPr>
      <w:autoSpaceDE w:val="0"/>
      <w:autoSpaceDN w:val="0"/>
      <w:adjustRightInd w:val="0"/>
      <w:spacing w:after="0" w:line="240" w:lineRule="auto"/>
    </w:pPr>
    <w:rPr>
      <w:rFonts w:ascii="Franklin Gothic Book" w:hAnsi="Franklin Gothic Book" w:cs="Franklin Gothic Book"/>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980529">
      <w:bodyDiv w:val="1"/>
      <w:marLeft w:val="0"/>
      <w:marRight w:val="0"/>
      <w:marTop w:val="0"/>
      <w:marBottom w:val="0"/>
      <w:divBdr>
        <w:top w:val="none" w:sz="0" w:space="0" w:color="auto"/>
        <w:left w:val="none" w:sz="0" w:space="0" w:color="auto"/>
        <w:bottom w:val="none" w:sz="0" w:space="0" w:color="auto"/>
        <w:right w:val="none" w:sz="0" w:space="0" w:color="auto"/>
      </w:divBdr>
      <w:divsChild>
        <w:div w:id="776213106">
          <w:marLeft w:val="0"/>
          <w:marRight w:val="0"/>
          <w:marTop w:val="0"/>
          <w:marBottom w:val="0"/>
          <w:divBdr>
            <w:top w:val="none" w:sz="0" w:space="0" w:color="auto"/>
            <w:left w:val="none" w:sz="0" w:space="0" w:color="auto"/>
            <w:bottom w:val="none" w:sz="0" w:space="0" w:color="auto"/>
            <w:right w:val="none" w:sz="0" w:space="0" w:color="auto"/>
          </w:divBdr>
          <w:divsChild>
            <w:div w:id="975136207">
              <w:marLeft w:val="0"/>
              <w:marRight w:val="0"/>
              <w:marTop w:val="0"/>
              <w:marBottom w:val="0"/>
              <w:divBdr>
                <w:top w:val="none" w:sz="0" w:space="0" w:color="auto"/>
                <w:left w:val="none" w:sz="0" w:space="0" w:color="auto"/>
                <w:bottom w:val="none" w:sz="0" w:space="0" w:color="auto"/>
                <w:right w:val="none" w:sz="0" w:space="0" w:color="auto"/>
              </w:divBdr>
            </w:div>
            <w:div w:id="1282148436">
              <w:marLeft w:val="0"/>
              <w:marRight w:val="0"/>
              <w:marTop w:val="0"/>
              <w:marBottom w:val="0"/>
              <w:divBdr>
                <w:top w:val="none" w:sz="0" w:space="0" w:color="auto"/>
                <w:left w:val="none" w:sz="0" w:space="0" w:color="auto"/>
                <w:bottom w:val="none" w:sz="0" w:space="0" w:color="auto"/>
                <w:right w:val="none" w:sz="0" w:space="0" w:color="auto"/>
              </w:divBdr>
            </w:div>
            <w:div w:id="130636956">
              <w:marLeft w:val="0"/>
              <w:marRight w:val="0"/>
              <w:marTop w:val="0"/>
              <w:marBottom w:val="0"/>
              <w:divBdr>
                <w:top w:val="none" w:sz="0" w:space="0" w:color="auto"/>
                <w:left w:val="none" w:sz="0" w:space="0" w:color="auto"/>
                <w:bottom w:val="none" w:sz="0" w:space="0" w:color="auto"/>
                <w:right w:val="none" w:sz="0" w:space="0" w:color="auto"/>
              </w:divBdr>
            </w:div>
            <w:div w:id="1842773746">
              <w:marLeft w:val="0"/>
              <w:marRight w:val="0"/>
              <w:marTop w:val="0"/>
              <w:marBottom w:val="0"/>
              <w:divBdr>
                <w:top w:val="none" w:sz="0" w:space="0" w:color="auto"/>
                <w:left w:val="none" w:sz="0" w:space="0" w:color="auto"/>
                <w:bottom w:val="none" w:sz="0" w:space="0" w:color="auto"/>
                <w:right w:val="none" w:sz="0" w:space="0" w:color="auto"/>
              </w:divBdr>
            </w:div>
            <w:div w:id="931544462">
              <w:marLeft w:val="0"/>
              <w:marRight w:val="0"/>
              <w:marTop w:val="0"/>
              <w:marBottom w:val="0"/>
              <w:divBdr>
                <w:top w:val="none" w:sz="0" w:space="0" w:color="auto"/>
                <w:left w:val="none" w:sz="0" w:space="0" w:color="auto"/>
                <w:bottom w:val="none" w:sz="0" w:space="0" w:color="auto"/>
                <w:right w:val="none" w:sz="0" w:space="0" w:color="auto"/>
              </w:divBdr>
            </w:div>
            <w:div w:id="74590433">
              <w:marLeft w:val="0"/>
              <w:marRight w:val="0"/>
              <w:marTop w:val="0"/>
              <w:marBottom w:val="0"/>
              <w:divBdr>
                <w:top w:val="none" w:sz="0" w:space="0" w:color="auto"/>
                <w:left w:val="none" w:sz="0" w:space="0" w:color="auto"/>
                <w:bottom w:val="none" w:sz="0" w:space="0" w:color="auto"/>
                <w:right w:val="none" w:sz="0" w:space="0" w:color="auto"/>
              </w:divBdr>
            </w:div>
            <w:div w:id="1102723284">
              <w:marLeft w:val="0"/>
              <w:marRight w:val="0"/>
              <w:marTop w:val="0"/>
              <w:marBottom w:val="0"/>
              <w:divBdr>
                <w:top w:val="none" w:sz="0" w:space="0" w:color="auto"/>
                <w:left w:val="none" w:sz="0" w:space="0" w:color="auto"/>
                <w:bottom w:val="none" w:sz="0" w:space="0" w:color="auto"/>
                <w:right w:val="none" w:sz="0" w:space="0" w:color="auto"/>
              </w:divBdr>
            </w:div>
            <w:div w:id="1088499895">
              <w:marLeft w:val="0"/>
              <w:marRight w:val="0"/>
              <w:marTop w:val="0"/>
              <w:marBottom w:val="0"/>
              <w:divBdr>
                <w:top w:val="none" w:sz="0" w:space="0" w:color="auto"/>
                <w:left w:val="none" w:sz="0" w:space="0" w:color="auto"/>
                <w:bottom w:val="none" w:sz="0" w:space="0" w:color="auto"/>
                <w:right w:val="none" w:sz="0" w:space="0" w:color="auto"/>
              </w:divBdr>
            </w:div>
            <w:div w:id="48456493">
              <w:marLeft w:val="0"/>
              <w:marRight w:val="0"/>
              <w:marTop w:val="0"/>
              <w:marBottom w:val="0"/>
              <w:divBdr>
                <w:top w:val="none" w:sz="0" w:space="0" w:color="auto"/>
                <w:left w:val="none" w:sz="0" w:space="0" w:color="auto"/>
                <w:bottom w:val="none" w:sz="0" w:space="0" w:color="auto"/>
                <w:right w:val="none" w:sz="0" w:space="0" w:color="auto"/>
              </w:divBdr>
            </w:div>
            <w:div w:id="1564294621">
              <w:marLeft w:val="0"/>
              <w:marRight w:val="0"/>
              <w:marTop w:val="0"/>
              <w:marBottom w:val="0"/>
              <w:divBdr>
                <w:top w:val="none" w:sz="0" w:space="0" w:color="auto"/>
                <w:left w:val="none" w:sz="0" w:space="0" w:color="auto"/>
                <w:bottom w:val="none" w:sz="0" w:space="0" w:color="auto"/>
                <w:right w:val="none" w:sz="0" w:space="0" w:color="auto"/>
              </w:divBdr>
            </w:div>
            <w:div w:id="1853914789">
              <w:marLeft w:val="0"/>
              <w:marRight w:val="0"/>
              <w:marTop w:val="0"/>
              <w:marBottom w:val="0"/>
              <w:divBdr>
                <w:top w:val="none" w:sz="0" w:space="0" w:color="auto"/>
                <w:left w:val="none" w:sz="0" w:space="0" w:color="auto"/>
                <w:bottom w:val="none" w:sz="0" w:space="0" w:color="auto"/>
                <w:right w:val="none" w:sz="0" w:space="0" w:color="auto"/>
              </w:divBdr>
            </w:div>
            <w:div w:id="629672382">
              <w:marLeft w:val="0"/>
              <w:marRight w:val="0"/>
              <w:marTop w:val="0"/>
              <w:marBottom w:val="0"/>
              <w:divBdr>
                <w:top w:val="none" w:sz="0" w:space="0" w:color="auto"/>
                <w:left w:val="none" w:sz="0" w:space="0" w:color="auto"/>
                <w:bottom w:val="none" w:sz="0" w:space="0" w:color="auto"/>
                <w:right w:val="none" w:sz="0" w:space="0" w:color="auto"/>
              </w:divBdr>
            </w:div>
            <w:div w:id="1240361877">
              <w:marLeft w:val="0"/>
              <w:marRight w:val="0"/>
              <w:marTop w:val="0"/>
              <w:marBottom w:val="0"/>
              <w:divBdr>
                <w:top w:val="none" w:sz="0" w:space="0" w:color="auto"/>
                <w:left w:val="none" w:sz="0" w:space="0" w:color="auto"/>
                <w:bottom w:val="none" w:sz="0" w:space="0" w:color="auto"/>
                <w:right w:val="none" w:sz="0" w:space="0" w:color="auto"/>
              </w:divBdr>
            </w:div>
            <w:div w:id="1269041283">
              <w:marLeft w:val="0"/>
              <w:marRight w:val="0"/>
              <w:marTop w:val="0"/>
              <w:marBottom w:val="0"/>
              <w:divBdr>
                <w:top w:val="none" w:sz="0" w:space="0" w:color="auto"/>
                <w:left w:val="none" w:sz="0" w:space="0" w:color="auto"/>
                <w:bottom w:val="none" w:sz="0" w:space="0" w:color="auto"/>
                <w:right w:val="none" w:sz="0" w:space="0" w:color="auto"/>
              </w:divBdr>
            </w:div>
            <w:div w:id="84038917">
              <w:marLeft w:val="0"/>
              <w:marRight w:val="0"/>
              <w:marTop w:val="0"/>
              <w:marBottom w:val="0"/>
              <w:divBdr>
                <w:top w:val="none" w:sz="0" w:space="0" w:color="auto"/>
                <w:left w:val="none" w:sz="0" w:space="0" w:color="auto"/>
                <w:bottom w:val="none" w:sz="0" w:space="0" w:color="auto"/>
                <w:right w:val="none" w:sz="0" w:space="0" w:color="auto"/>
              </w:divBdr>
            </w:div>
            <w:div w:id="1054086989">
              <w:marLeft w:val="0"/>
              <w:marRight w:val="0"/>
              <w:marTop w:val="0"/>
              <w:marBottom w:val="0"/>
              <w:divBdr>
                <w:top w:val="none" w:sz="0" w:space="0" w:color="auto"/>
                <w:left w:val="none" w:sz="0" w:space="0" w:color="auto"/>
                <w:bottom w:val="none" w:sz="0" w:space="0" w:color="auto"/>
                <w:right w:val="none" w:sz="0" w:space="0" w:color="auto"/>
              </w:divBdr>
            </w:div>
            <w:div w:id="1805660415">
              <w:marLeft w:val="0"/>
              <w:marRight w:val="0"/>
              <w:marTop w:val="0"/>
              <w:marBottom w:val="0"/>
              <w:divBdr>
                <w:top w:val="none" w:sz="0" w:space="0" w:color="auto"/>
                <w:left w:val="none" w:sz="0" w:space="0" w:color="auto"/>
                <w:bottom w:val="none" w:sz="0" w:space="0" w:color="auto"/>
                <w:right w:val="none" w:sz="0" w:space="0" w:color="auto"/>
              </w:divBdr>
            </w:div>
            <w:div w:id="1197962858">
              <w:marLeft w:val="0"/>
              <w:marRight w:val="0"/>
              <w:marTop w:val="0"/>
              <w:marBottom w:val="0"/>
              <w:divBdr>
                <w:top w:val="none" w:sz="0" w:space="0" w:color="auto"/>
                <w:left w:val="none" w:sz="0" w:space="0" w:color="auto"/>
                <w:bottom w:val="none" w:sz="0" w:space="0" w:color="auto"/>
                <w:right w:val="none" w:sz="0" w:space="0" w:color="auto"/>
              </w:divBdr>
            </w:div>
            <w:div w:id="2018344018">
              <w:marLeft w:val="0"/>
              <w:marRight w:val="0"/>
              <w:marTop w:val="0"/>
              <w:marBottom w:val="0"/>
              <w:divBdr>
                <w:top w:val="none" w:sz="0" w:space="0" w:color="auto"/>
                <w:left w:val="none" w:sz="0" w:space="0" w:color="auto"/>
                <w:bottom w:val="none" w:sz="0" w:space="0" w:color="auto"/>
                <w:right w:val="none" w:sz="0" w:space="0" w:color="auto"/>
              </w:divBdr>
            </w:div>
            <w:div w:id="2145199505">
              <w:marLeft w:val="0"/>
              <w:marRight w:val="0"/>
              <w:marTop w:val="0"/>
              <w:marBottom w:val="0"/>
              <w:divBdr>
                <w:top w:val="none" w:sz="0" w:space="0" w:color="auto"/>
                <w:left w:val="none" w:sz="0" w:space="0" w:color="auto"/>
                <w:bottom w:val="none" w:sz="0" w:space="0" w:color="auto"/>
                <w:right w:val="none" w:sz="0" w:space="0" w:color="auto"/>
              </w:divBdr>
            </w:div>
            <w:div w:id="955214391">
              <w:marLeft w:val="0"/>
              <w:marRight w:val="0"/>
              <w:marTop w:val="0"/>
              <w:marBottom w:val="0"/>
              <w:divBdr>
                <w:top w:val="none" w:sz="0" w:space="0" w:color="auto"/>
                <w:left w:val="none" w:sz="0" w:space="0" w:color="auto"/>
                <w:bottom w:val="none" w:sz="0" w:space="0" w:color="auto"/>
                <w:right w:val="none" w:sz="0" w:space="0" w:color="auto"/>
              </w:divBdr>
            </w:div>
            <w:div w:id="1448311624">
              <w:marLeft w:val="0"/>
              <w:marRight w:val="0"/>
              <w:marTop w:val="0"/>
              <w:marBottom w:val="0"/>
              <w:divBdr>
                <w:top w:val="none" w:sz="0" w:space="0" w:color="auto"/>
                <w:left w:val="none" w:sz="0" w:space="0" w:color="auto"/>
                <w:bottom w:val="none" w:sz="0" w:space="0" w:color="auto"/>
                <w:right w:val="none" w:sz="0" w:space="0" w:color="auto"/>
              </w:divBdr>
            </w:div>
            <w:div w:id="61841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4493">
      <w:bodyDiv w:val="1"/>
      <w:marLeft w:val="0"/>
      <w:marRight w:val="0"/>
      <w:marTop w:val="0"/>
      <w:marBottom w:val="0"/>
      <w:divBdr>
        <w:top w:val="none" w:sz="0" w:space="0" w:color="auto"/>
        <w:left w:val="none" w:sz="0" w:space="0" w:color="auto"/>
        <w:bottom w:val="none" w:sz="0" w:space="0" w:color="auto"/>
        <w:right w:val="none" w:sz="0" w:space="0" w:color="auto"/>
      </w:divBdr>
    </w:div>
    <w:div w:id="1662587740">
      <w:bodyDiv w:val="1"/>
      <w:marLeft w:val="0"/>
      <w:marRight w:val="0"/>
      <w:marTop w:val="0"/>
      <w:marBottom w:val="0"/>
      <w:divBdr>
        <w:top w:val="none" w:sz="0" w:space="0" w:color="auto"/>
        <w:left w:val="none" w:sz="0" w:space="0" w:color="auto"/>
        <w:bottom w:val="none" w:sz="0" w:space="0" w:color="auto"/>
        <w:right w:val="none" w:sz="0" w:space="0" w:color="auto"/>
      </w:divBdr>
    </w:div>
    <w:div w:id="1676876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3.emf"/><Relationship Id="rId26" Type="http://schemas.openxmlformats.org/officeDocument/2006/relationships/image" Target="media/image21.emf"/><Relationship Id="rId3" Type="http://schemas.openxmlformats.org/officeDocument/2006/relationships/settings" Target="settings.xml"/><Relationship Id="rId21" Type="http://schemas.openxmlformats.org/officeDocument/2006/relationships/image" Target="media/image16.emf"/><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emf"/><Relationship Id="rId2" Type="http://schemas.openxmlformats.org/officeDocument/2006/relationships/styles" Target="styles.xml"/><Relationship Id="rId16" Type="http://schemas.openxmlformats.org/officeDocument/2006/relationships/image" Target="media/image11.emf"/><Relationship Id="rId20" Type="http://schemas.openxmlformats.org/officeDocument/2006/relationships/image" Target="media/image15.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image" Target="media/image6.emf"/><Relationship Id="rId24" Type="http://schemas.openxmlformats.org/officeDocument/2006/relationships/image" Target="media/image19.emf"/><Relationship Id="rId5" Type="http://schemas.openxmlformats.org/officeDocument/2006/relationships/hyperlink" Target="https://doi.org/10.15480/882.14884" TargetMode="External"/><Relationship Id="rId15" Type="http://schemas.openxmlformats.org/officeDocument/2006/relationships/image" Target="media/image10.emf"/><Relationship Id="rId23" Type="http://schemas.openxmlformats.org/officeDocument/2006/relationships/image" Target="media/image18.emf"/><Relationship Id="rId28" Type="http://schemas.openxmlformats.org/officeDocument/2006/relationships/fontTable" Target="fontTable.xml"/><Relationship Id="rId10" Type="http://schemas.openxmlformats.org/officeDocument/2006/relationships/image" Target="media/image5.emf"/><Relationship Id="rId19" Type="http://schemas.openxmlformats.org/officeDocument/2006/relationships/image" Target="media/image14.emf"/><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image" Target="media/image17.emf"/><Relationship Id="rId27" Type="http://schemas.openxmlformats.org/officeDocument/2006/relationships/hyperlink" Target="https://creativecommons.org/licenses/by/4.0/"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1101</Words>
  <Characters>6280</Characters>
  <Application>Microsoft Office Word</Application>
  <DocSecurity>4</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TUHH_iLAS_G-2</Company>
  <LinksUpToDate>false</LinksUpToDate>
  <CharactersWithSpaces>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Hünting</dc:creator>
  <cp:keywords/>
  <dc:description/>
  <cp:lastModifiedBy>Karim Asami</cp:lastModifiedBy>
  <cp:revision>2</cp:revision>
  <cp:lastPrinted>2025-02-04T15:01:00Z</cp:lastPrinted>
  <dcterms:created xsi:type="dcterms:W3CDTF">2025-03-10T13:08:00Z</dcterms:created>
  <dcterms:modified xsi:type="dcterms:W3CDTF">2025-03-10T13:08:00Z</dcterms:modified>
</cp:coreProperties>
</file>